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34A" w:rsidRPr="001214C3" w:rsidRDefault="00D7334A" w:rsidP="001214C3">
      <w:pPr>
        <w:jc w:val="center"/>
        <w:rPr>
          <w:rFonts w:ascii="Garamond" w:hAnsi="Garamond" w:cs="Times New Roman"/>
          <w:b/>
          <w:sz w:val="28"/>
          <w:szCs w:val="28"/>
        </w:rPr>
      </w:pPr>
      <w:r w:rsidRPr="001214C3">
        <w:rPr>
          <w:rFonts w:ascii="Garamond" w:hAnsi="Garamond" w:cs="Times New Roman"/>
          <w:b/>
          <w:sz w:val="28"/>
          <w:szCs w:val="28"/>
        </w:rPr>
        <w:t xml:space="preserve">PIANO TRIENNALE </w:t>
      </w:r>
      <w:r w:rsidR="009B12CE" w:rsidRPr="001214C3">
        <w:rPr>
          <w:rFonts w:ascii="Garamond" w:hAnsi="Garamond" w:cs="Times New Roman"/>
          <w:b/>
          <w:sz w:val="28"/>
          <w:szCs w:val="28"/>
        </w:rPr>
        <w:t>DELLA TRASPARENZA</w:t>
      </w:r>
    </w:p>
    <w:p w:rsidR="00D7334A" w:rsidRPr="001214C3" w:rsidRDefault="0060384A" w:rsidP="001214C3">
      <w:pPr>
        <w:jc w:val="center"/>
        <w:rPr>
          <w:rFonts w:ascii="Garamond" w:hAnsi="Garamond" w:cs="Times New Roman"/>
          <w:b/>
          <w:sz w:val="28"/>
          <w:szCs w:val="28"/>
        </w:rPr>
      </w:pPr>
      <w:r w:rsidRPr="001214C3">
        <w:rPr>
          <w:rFonts w:ascii="Garamond" w:hAnsi="Garamond" w:cs="Times New Roman"/>
          <w:b/>
          <w:sz w:val="28"/>
          <w:szCs w:val="28"/>
        </w:rPr>
        <w:t>Anni 2020 - 2022</w:t>
      </w:r>
    </w:p>
    <w:p w:rsidR="00521500" w:rsidRDefault="00521500" w:rsidP="001214C3">
      <w:pPr>
        <w:jc w:val="center"/>
        <w:rPr>
          <w:rFonts w:ascii="Garamond" w:hAnsi="Garamond" w:cs="Garamond"/>
          <w:color w:val="000000"/>
          <w:sz w:val="28"/>
          <w:szCs w:val="28"/>
        </w:rPr>
      </w:pPr>
    </w:p>
    <w:p w:rsidR="00521500" w:rsidRDefault="00521500" w:rsidP="001214C3">
      <w:pPr>
        <w:jc w:val="center"/>
        <w:rPr>
          <w:rFonts w:ascii="Garamond" w:hAnsi="Garamond" w:cs="Garamond"/>
          <w:color w:val="000000"/>
          <w:sz w:val="28"/>
          <w:szCs w:val="28"/>
        </w:rPr>
      </w:pPr>
    </w:p>
    <w:p w:rsidR="00521500" w:rsidRPr="001214C3" w:rsidRDefault="00521500" w:rsidP="001214C3">
      <w:pPr>
        <w:jc w:val="center"/>
        <w:rPr>
          <w:rFonts w:ascii="Garamond" w:hAnsi="Garamond" w:cs="Garamond"/>
          <w:color w:val="000000"/>
          <w:sz w:val="28"/>
          <w:szCs w:val="28"/>
        </w:rPr>
      </w:pPr>
    </w:p>
    <w:sdt>
      <w:sdtPr>
        <w:rPr>
          <w:rFonts w:ascii="Garamond" w:eastAsiaTheme="minorEastAsia" w:hAnsi="Garamond" w:cstheme="minorBidi"/>
          <w:color w:val="auto"/>
          <w:sz w:val="28"/>
          <w:szCs w:val="28"/>
        </w:rPr>
        <w:id w:val="-1918696406"/>
        <w:docPartObj>
          <w:docPartGallery w:val="Table of Contents"/>
          <w:docPartUnique/>
        </w:docPartObj>
      </w:sdtPr>
      <w:sdtEndPr>
        <w:rPr>
          <w:b/>
          <w:bCs/>
          <w:sz w:val="20"/>
          <w:szCs w:val="20"/>
        </w:rPr>
      </w:sdtEndPr>
      <w:sdtContent>
        <w:p w:rsidR="00D5342B" w:rsidRPr="00AF6535" w:rsidRDefault="00D5342B">
          <w:pPr>
            <w:pStyle w:val="Titolosommario"/>
            <w:rPr>
              <w:rFonts w:ascii="Garamond" w:hAnsi="Garamond"/>
              <w:sz w:val="20"/>
              <w:szCs w:val="20"/>
            </w:rPr>
          </w:pPr>
          <w:r w:rsidRPr="00AF6535">
            <w:rPr>
              <w:rFonts w:ascii="Garamond" w:hAnsi="Garamond"/>
              <w:sz w:val="20"/>
              <w:szCs w:val="20"/>
            </w:rPr>
            <w:t>Sommario</w:t>
          </w:r>
        </w:p>
        <w:p w:rsidR="00612AE8" w:rsidRDefault="00D5342B">
          <w:pPr>
            <w:pStyle w:val="Sommario1"/>
            <w:tabs>
              <w:tab w:val="left" w:pos="440"/>
              <w:tab w:val="right" w:leader="dot" w:pos="9628"/>
            </w:tabs>
            <w:rPr>
              <w:noProof/>
              <w:lang w:eastAsia="it-IT"/>
            </w:rPr>
          </w:pPr>
          <w:r w:rsidRPr="00AF6535">
            <w:rPr>
              <w:rFonts w:ascii="Garamond" w:hAnsi="Garamond"/>
              <w:sz w:val="20"/>
              <w:szCs w:val="20"/>
            </w:rPr>
            <w:fldChar w:fldCharType="begin"/>
          </w:r>
          <w:r w:rsidRPr="00AF6535">
            <w:rPr>
              <w:rFonts w:ascii="Garamond" w:hAnsi="Garamond"/>
              <w:sz w:val="20"/>
              <w:szCs w:val="20"/>
            </w:rPr>
            <w:instrText xml:space="preserve"> TOC \o "1-3" \h \z \u </w:instrText>
          </w:r>
          <w:r w:rsidRPr="00AF6535">
            <w:rPr>
              <w:rFonts w:ascii="Garamond" w:hAnsi="Garamond"/>
              <w:sz w:val="20"/>
              <w:szCs w:val="20"/>
            </w:rPr>
            <w:fldChar w:fldCharType="separate"/>
          </w:r>
          <w:hyperlink w:anchor="_Toc43459019" w:history="1">
            <w:r w:rsidR="00612AE8" w:rsidRPr="00482FE6">
              <w:rPr>
                <w:rStyle w:val="Collegamentoipertestuale"/>
                <w:rFonts w:ascii="Garamond" w:hAnsi="Garamond"/>
                <w:b/>
                <w:noProof/>
              </w:rPr>
              <w:t>1.</w:t>
            </w:r>
            <w:r w:rsidR="00612AE8">
              <w:rPr>
                <w:noProof/>
                <w:lang w:eastAsia="it-IT"/>
              </w:rPr>
              <w:tab/>
            </w:r>
            <w:r w:rsidR="00612AE8" w:rsidRPr="00482FE6">
              <w:rPr>
                <w:rStyle w:val="Collegamentoipertestuale"/>
                <w:rFonts w:ascii="Garamond" w:hAnsi="Garamond"/>
                <w:b/>
                <w:noProof/>
              </w:rPr>
              <w:t>Introduzione</w:t>
            </w:r>
            <w:r w:rsidR="00612AE8">
              <w:rPr>
                <w:noProof/>
                <w:webHidden/>
              </w:rPr>
              <w:tab/>
            </w:r>
            <w:r w:rsidR="00612AE8">
              <w:rPr>
                <w:noProof/>
                <w:webHidden/>
              </w:rPr>
              <w:fldChar w:fldCharType="begin"/>
            </w:r>
            <w:r w:rsidR="00612AE8">
              <w:rPr>
                <w:noProof/>
                <w:webHidden/>
              </w:rPr>
              <w:instrText xml:space="preserve"> PAGEREF _Toc43459019 \h </w:instrText>
            </w:r>
            <w:r w:rsidR="00612AE8">
              <w:rPr>
                <w:noProof/>
                <w:webHidden/>
              </w:rPr>
            </w:r>
            <w:r w:rsidR="00612AE8">
              <w:rPr>
                <w:noProof/>
                <w:webHidden/>
              </w:rPr>
              <w:fldChar w:fldCharType="separate"/>
            </w:r>
            <w:r w:rsidR="00486151">
              <w:rPr>
                <w:noProof/>
                <w:webHidden/>
              </w:rPr>
              <w:t>2</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0" w:history="1">
            <w:r w:rsidR="00612AE8" w:rsidRPr="00482FE6">
              <w:rPr>
                <w:rStyle w:val="Collegamentoipertestuale"/>
                <w:rFonts w:ascii="Garamond" w:hAnsi="Garamond"/>
                <w:b/>
                <w:noProof/>
              </w:rPr>
              <w:t>2.</w:t>
            </w:r>
            <w:r w:rsidR="00612AE8">
              <w:rPr>
                <w:noProof/>
                <w:lang w:eastAsia="it-IT"/>
              </w:rPr>
              <w:tab/>
            </w:r>
            <w:r w:rsidR="00612AE8" w:rsidRPr="00482FE6">
              <w:rPr>
                <w:rStyle w:val="Collegamentoipertestuale"/>
                <w:rFonts w:ascii="Garamond" w:hAnsi="Garamond"/>
                <w:b/>
                <w:noProof/>
              </w:rPr>
              <w:t>Principali norme o documenti di riferimento</w:t>
            </w:r>
            <w:r w:rsidR="00612AE8">
              <w:rPr>
                <w:noProof/>
                <w:webHidden/>
              </w:rPr>
              <w:tab/>
            </w:r>
            <w:r w:rsidR="00612AE8">
              <w:rPr>
                <w:noProof/>
                <w:webHidden/>
              </w:rPr>
              <w:fldChar w:fldCharType="begin"/>
            </w:r>
            <w:r w:rsidR="00612AE8">
              <w:rPr>
                <w:noProof/>
                <w:webHidden/>
              </w:rPr>
              <w:instrText xml:space="preserve"> PAGEREF _Toc43459020 \h </w:instrText>
            </w:r>
            <w:r w:rsidR="00612AE8">
              <w:rPr>
                <w:noProof/>
                <w:webHidden/>
              </w:rPr>
            </w:r>
            <w:r w:rsidR="00612AE8">
              <w:rPr>
                <w:noProof/>
                <w:webHidden/>
              </w:rPr>
              <w:fldChar w:fldCharType="separate"/>
            </w:r>
            <w:r w:rsidR="00486151">
              <w:rPr>
                <w:noProof/>
                <w:webHidden/>
              </w:rPr>
              <w:t>2</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1" w:history="1">
            <w:r w:rsidR="00612AE8" w:rsidRPr="00482FE6">
              <w:rPr>
                <w:rStyle w:val="Collegamentoipertestuale"/>
                <w:rFonts w:ascii="Garamond" w:hAnsi="Garamond"/>
                <w:b/>
                <w:noProof/>
              </w:rPr>
              <w:t>3.</w:t>
            </w:r>
            <w:r w:rsidR="00612AE8">
              <w:rPr>
                <w:noProof/>
                <w:lang w:eastAsia="it-IT"/>
              </w:rPr>
              <w:tab/>
            </w:r>
            <w:r w:rsidR="00612AE8" w:rsidRPr="00482FE6">
              <w:rPr>
                <w:rStyle w:val="Collegamentoipertestuale"/>
                <w:rFonts w:ascii="Garamond" w:hAnsi="Garamond"/>
                <w:b/>
                <w:noProof/>
              </w:rPr>
              <w:t>Normative interne</w:t>
            </w:r>
            <w:r w:rsidR="00612AE8">
              <w:rPr>
                <w:noProof/>
                <w:webHidden/>
              </w:rPr>
              <w:tab/>
            </w:r>
            <w:r w:rsidR="00612AE8">
              <w:rPr>
                <w:noProof/>
                <w:webHidden/>
              </w:rPr>
              <w:fldChar w:fldCharType="begin"/>
            </w:r>
            <w:r w:rsidR="00612AE8">
              <w:rPr>
                <w:noProof/>
                <w:webHidden/>
              </w:rPr>
              <w:instrText xml:space="preserve"> PAGEREF _Toc43459021 \h </w:instrText>
            </w:r>
            <w:r w:rsidR="00612AE8">
              <w:rPr>
                <w:noProof/>
                <w:webHidden/>
              </w:rPr>
            </w:r>
            <w:r w:rsidR="00612AE8">
              <w:rPr>
                <w:noProof/>
                <w:webHidden/>
              </w:rPr>
              <w:fldChar w:fldCharType="separate"/>
            </w:r>
            <w:r w:rsidR="00486151">
              <w:rPr>
                <w:noProof/>
                <w:webHidden/>
              </w:rPr>
              <w:t>2</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2" w:history="1">
            <w:r w:rsidR="00612AE8" w:rsidRPr="00482FE6">
              <w:rPr>
                <w:rStyle w:val="Collegamentoipertestuale"/>
                <w:rFonts w:ascii="Garamond" w:hAnsi="Garamond"/>
                <w:b/>
                <w:noProof/>
              </w:rPr>
              <w:t>4.</w:t>
            </w:r>
            <w:r w:rsidR="00612AE8">
              <w:rPr>
                <w:noProof/>
                <w:lang w:eastAsia="it-IT"/>
              </w:rPr>
              <w:tab/>
            </w:r>
            <w:r w:rsidR="00612AE8" w:rsidRPr="00482FE6">
              <w:rPr>
                <w:rStyle w:val="Collegamentoipertestuale"/>
                <w:rFonts w:ascii="Garamond" w:hAnsi="Garamond"/>
                <w:b/>
                <w:noProof/>
              </w:rPr>
              <w:t>Analisi del contesto interno e caratteristiche di Fondazione</w:t>
            </w:r>
            <w:r w:rsidR="00612AE8">
              <w:rPr>
                <w:noProof/>
                <w:webHidden/>
              </w:rPr>
              <w:tab/>
            </w:r>
            <w:r w:rsidR="00612AE8">
              <w:rPr>
                <w:noProof/>
                <w:webHidden/>
              </w:rPr>
              <w:fldChar w:fldCharType="begin"/>
            </w:r>
            <w:r w:rsidR="00612AE8">
              <w:rPr>
                <w:noProof/>
                <w:webHidden/>
              </w:rPr>
              <w:instrText xml:space="preserve"> PAGEREF _Toc43459022 \h </w:instrText>
            </w:r>
            <w:r w:rsidR="00612AE8">
              <w:rPr>
                <w:noProof/>
                <w:webHidden/>
              </w:rPr>
            </w:r>
            <w:r w:rsidR="00612AE8">
              <w:rPr>
                <w:noProof/>
                <w:webHidden/>
              </w:rPr>
              <w:fldChar w:fldCharType="separate"/>
            </w:r>
            <w:r w:rsidR="00486151">
              <w:rPr>
                <w:noProof/>
                <w:webHidden/>
              </w:rPr>
              <w:t>3</w:t>
            </w:r>
            <w:r w:rsidR="00612AE8">
              <w:rPr>
                <w:noProof/>
                <w:webHidden/>
              </w:rPr>
              <w:fldChar w:fldCharType="end"/>
            </w:r>
          </w:hyperlink>
        </w:p>
        <w:p w:rsidR="00612AE8" w:rsidRDefault="002E56D0">
          <w:pPr>
            <w:pStyle w:val="Sommario3"/>
            <w:tabs>
              <w:tab w:val="right" w:leader="dot" w:pos="9628"/>
            </w:tabs>
            <w:rPr>
              <w:noProof/>
              <w:lang w:eastAsia="it-IT"/>
            </w:rPr>
          </w:pPr>
          <w:hyperlink w:anchor="_Toc43459023" w:history="1">
            <w:r w:rsidR="00612AE8" w:rsidRPr="00482FE6">
              <w:rPr>
                <w:rStyle w:val="Collegamentoipertestuale"/>
                <w:rFonts w:ascii="Garamond" w:hAnsi="Garamond"/>
                <w:noProof/>
              </w:rPr>
              <w:t>4.1 Riferimenti normativi</w:t>
            </w:r>
            <w:r w:rsidR="00612AE8">
              <w:rPr>
                <w:noProof/>
                <w:webHidden/>
              </w:rPr>
              <w:tab/>
            </w:r>
            <w:r w:rsidR="00612AE8">
              <w:rPr>
                <w:noProof/>
                <w:webHidden/>
              </w:rPr>
              <w:fldChar w:fldCharType="begin"/>
            </w:r>
            <w:r w:rsidR="00612AE8">
              <w:rPr>
                <w:noProof/>
                <w:webHidden/>
              </w:rPr>
              <w:instrText xml:space="preserve"> PAGEREF _Toc43459023 \h </w:instrText>
            </w:r>
            <w:r w:rsidR="00612AE8">
              <w:rPr>
                <w:noProof/>
                <w:webHidden/>
              </w:rPr>
            </w:r>
            <w:r w:rsidR="00612AE8">
              <w:rPr>
                <w:noProof/>
                <w:webHidden/>
              </w:rPr>
              <w:fldChar w:fldCharType="separate"/>
            </w:r>
            <w:r w:rsidR="00486151">
              <w:rPr>
                <w:noProof/>
                <w:webHidden/>
              </w:rPr>
              <w:t>3</w:t>
            </w:r>
            <w:r w:rsidR="00612AE8">
              <w:rPr>
                <w:noProof/>
                <w:webHidden/>
              </w:rPr>
              <w:fldChar w:fldCharType="end"/>
            </w:r>
          </w:hyperlink>
        </w:p>
        <w:p w:rsidR="00612AE8" w:rsidRDefault="002E56D0">
          <w:pPr>
            <w:pStyle w:val="Sommario3"/>
            <w:tabs>
              <w:tab w:val="right" w:leader="dot" w:pos="9628"/>
            </w:tabs>
            <w:rPr>
              <w:noProof/>
              <w:lang w:eastAsia="it-IT"/>
            </w:rPr>
          </w:pPr>
          <w:hyperlink w:anchor="_Toc43459024" w:history="1">
            <w:r w:rsidR="00612AE8" w:rsidRPr="00482FE6">
              <w:rPr>
                <w:rStyle w:val="Collegamentoipertestuale"/>
                <w:rFonts w:ascii="Garamond" w:hAnsi="Garamond"/>
                <w:noProof/>
              </w:rPr>
              <w:t>4.2 Organizzazione</w:t>
            </w:r>
            <w:r w:rsidR="00612AE8">
              <w:rPr>
                <w:noProof/>
                <w:webHidden/>
              </w:rPr>
              <w:tab/>
            </w:r>
            <w:r w:rsidR="00612AE8">
              <w:rPr>
                <w:noProof/>
                <w:webHidden/>
              </w:rPr>
              <w:fldChar w:fldCharType="begin"/>
            </w:r>
            <w:r w:rsidR="00612AE8">
              <w:rPr>
                <w:noProof/>
                <w:webHidden/>
              </w:rPr>
              <w:instrText xml:space="preserve"> PAGEREF _Toc43459024 \h </w:instrText>
            </w:r>
            <w:r w:rsidR="00612AE8">
              <w:rPr>
                <w:noProof/>
                <w:webHidden/>
              </w:rPr>
            </w:r>
            <w:r w:rsidR="00612AE8">
              <w:rPr>
                <w:noProof/>
                <w:webHidden/>
              </w:rPr>
              <w:fldChar w:fldCharType="separate"/>
            </w:r>
            <w:r w:rsidR="00486151">
              <w:rPr>
                <w:noProof/>
                <w:webHidden/>
              </w:rPr>
              <w:t>3</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5" w:history="1">
            <w:r w:rsidR="00612AE8" w:rsidRPr="00482FE6">
              <w:rPr>
                <w:rStyle w:val="Collegamentoipertestuale"/>
                <w:rFonts w:ascii="Garamond" w:hAnsi="Garamond"/>
                <w:b/>
                <w:noProof/>
              </w:rPr>
              <w:t>5.</w:t>
            </w:r>
            <w:r w:rsidR="00612AE8">
              <w:rPr>
                <w:noProof/>
                <w:lang w:eastAsia="it-IT"/>
              </w:rPr>
              <w:tab/>
            </w:r>
            <w:r w:rsidR="00612AE8" w:rsidRPr="00482FE6">
              <w:rPr>
                <w:rStyle w:val="Collegamentoipertestuale"/>
                <w:rFonts w:ascii="Garamond" w:hAnsi="Garamond"/>
                <w:b/>
                <w:noProof/>
              </w:rPr>
              <w:t>Il responsabile della Trasparenza</w:t>
            </w:r>
            <w:r w:rsidR="00612AE8">
              <w:rPr>
                <w:noProof/>
                <w:webHidden/>
              </w:rPr>
              <w:tab/>
            </w:r>
            <w:r w:rsidR="00612AE8">
              <w:rPr>
                <w:noProof/>
                <w:webHidden/>
              </w:rPr>
              <w:fldChar w:fldCharType="begin"/>
            </w:r>
            <w:r w:rsidR="00612AE8">
              <w:rPr>
                <w:noProof/>
                <w:webHidden/>
              </w:rPr>
              <w:instrText xml:space="preserve"> PAGEREF _Toc43459025 \h </w:instrText>
            </w:r>
            <w:r w:rsidR="00612AE8">
              <w:rPr>
                <w:noProof/>
                <w:webHidden/>
              </w:rPr>
            </w:r>
            <w:r w:rsidR="00612AE8">
              <w:rPr>
                <w:noProof/>
                <w:webHidden/>
              </w:rPr>
              <w:fldChar w:fldCharType="separate"/>
            </w:r>
            <w:r w:rsidR="00486151">
              <w:rPr>
                <w:noProof/>
                <w:webHidden/>
              </w:rPr>
              <w:t>5</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6" w:history="1">
            <w:r w:rsidR="00612AE8" w:rsidRPr="00482FE6">
              <w:rPr>
                <w:rStyle w:val="Collegamentoipertestuale"/>
                <w:rFonts w:ascii="Garamond" w:hAnsi="Garamond"/>
                <w:b/>
                <w:noProof/>
              </w:rPr>
              <w:t>6.</w:t>
            </w:r>
            <w:r w:rsidR="00612AE8">
              <w:rPr>
                <w:noProof/>
                <w:lang w:eastAsia="it-IT"/>
              </w:rPr>
              <w:tab/>
            </w:r>
            <w:r w:rsidR="00612AE8" w:rsidRPr="00482FE6">
              <w:rPr>
                <w:rStyle w:val="Collegamentoipertestuale"/>
                <w:rFonts w:ascii="Garamond" w:hAnsi="Garamond"/>
                <w:b/>
                <w:noProof/>
              </w:rPr>
              <w:t>Il concetto di trasparenza</w:t>
            </w:r>
            <w:r w:rsidR="00612AE8">
              <w:rPr>
                <w:noProof/>
                <w:webHidden/>
              </w:rPr>
              <w:tab/>
            </w:r>
            <w:r w:rsidR="00612AE8">
              <w:rPr>
                <w:noProof/>
                <w:webHidden/>
              </w:rPr>
              <w:fldChar w:fldCharType="begin"/>
            </w:r>
            <w:r w:rsidR="00612AE8">
              <w:rPr>
                <w:noProof/>
                <w:webHidden/>
              </w:rPr>
              <w:instrText xml:space="preserve"> PAGEREF _Toc43459026 \h </w:instrText>
            </w:r>
            <w:r w:rsidR="00612AE8">
              <w:rPr>
                <w:noProof/>
                <w:webHidden/>
              </w:rPr>
            </w:r>
            <w:r w:rsidR="00612AE8">
              <w:rPr>
                <w:noProof/>
                <w:webHidden/>
              </w:rPr>
              <w:fldChar w:fldCharType="separate"/>
            </w:r>
            <w:r w:rsidR="00486151">
              <w:rPr>
                <w:noProof/>
                <w:webHidden/>
              </w:rPr>
              <w:t>5</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7" w:history="1">
            <w:r w:rsidR="00612AE8" w:rsidRPr="00482FE6">
              <w:rPr>
                <w:rStyle w:val="Collegamentoipertestuale"/>
                <w:rFonts w:ascii="Garamond" w:hAnsi="Garamond"/>
                <w:b/>
                <w:noProof/>
              </w:rPr>
              <w:t>7.</w:t>
            </w:r>
            <w:r w:rsidR="00612AE8">
              <w:rPr>
                <w:noProof/>
                <w:lang w:eastAsia="it-IT"/>
              </w:rPr>
              <w:tab/>
            </w:r>
            <w:r w:rsidR="00612AE8" w:rsidRPr="00482FE6">
              <w:rPr>
                <w:rStyle w:val="Collegamentoipertestuale"/>
                <w:rFonts w:ascii="Garamond" w:hAnsi="Garamond"/>
                <w:b/>
                <w:noProof/>
              </w:rPr>
              <w:t>Accesso documentale e accesso civico (l. 241/1990 e d.lgs. 33/2013).</w:t>
            </w:r>
            <w:r w:rsidR="00612AE8">
              <w:rPr>
                <w:noProof/>
                <w:webHidden/>
              </w:rPr>
              <w:tab/>
            </w:r>
            <w:r w:rsidR="00612AE8">
              <w:rPr>
                <w:noProof/>
                <w:webHidden/>
              </w:rPr>
              <w:fldChar w:fldCharType="begin"/>
            </w:r>
            <w:r w:rsidR="00612AE8">
              <w:rPr>
                <w:noProof/>
                <w:webHidden/>
              </w:rPr>
              <w:instrText xml:space="preserve"> PAGEREF _Toc43459027 \h </w:instrText>
            </w:r>
            <w:r w:rsidR="00612AE8">
              <w:rPr>
                <w:noProof/>
                <w:webHidden/>
              </w:rPr>
            </w:r>
            <w:r w:rsidR="00612AE8">
              <w:rPr>
                <w:noProof/>
                <w:webHidden/>
              </w:rPr>
              <w:fldChar w:fldCharType="separate"/>
            </w:r>
            <w:r w:rsidR="00486151">
              <w:rPr>
                <w:noProof/>
                <w:webHidden/>
              </w:rPr>
              <w:t>6</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28" w:history="1">
            <w:r w:rsidR="00612AE8" w:rsidRPr="00482FE6">
              <w:rPr>
                <w:rStyle w:val="Collegamentoipertestuale"/>
                <w:rFonts w:ascii="Garamond" w:hAnsi="Garamond"/>
                <w:b/>
                <w:noProof/>
              </w:rPr>
              <w:t>8.</w:t>
            </w:r>
            <w:r w:rsidR="00612AE8">
              <w:rPr>
                <w:noProof/>
                <w:lang w:eastAsia="it-IT"/>
              </w:rPr>
              <w:tab/>
            </w:r>
            <w:r w:rsidR="00612AE8" w:rsidRPr="00482FE6">
              <w:rPr>
                <w:rStyle w:val="Collegamentoipertestuale"/>
                <w:rFonts w:ascii="Garamond" w:hAnsi="Garamond"/>
                <w:b/>
                <w:noProof/>
              </w:rPr>
              <w:t>Processo di elaborazione e attuazione del programma</w:t>
            </w:r>
            <w:r w:rsidR="00612AE8">
              <w:rPr>
                <w:noProof/>
                <w:webHidden/>
              </w:rPr>
              <w:tab/>
            </w:r>
            <w:r w:rsidR="00612AE8">
              <w:rPr>
                <w:noProof/>
                <w:webHidden/>
              </w:rPr>
              <w:fldChar w:fldCharType="begin"/>
            </w:r>
            <w:r w:rsidR="00612AE8">
              <w:rPr>
                <w:noProof/>
                <w:webHidden/>
              </w:rPr>
              <w:instrText xml:space="preserve"> PAGEREF _Toc43459028 \h </w:instrText>
            </w:r>
            <w:r w:rsidR="00612AE8">
              <w:rPr>
                <w:noProof/>
                <w:webHidden/>
              </w:rPr>
            </w:r>
            <w:r w:rsidR="00612AE8">
              <w:rPr>
                <w:noProof/>
                <w:webHidden/>
              </w:rPr>
              <w:fldChar w:fldCharType="separate"/>
            </w:r>
            <w:r w:rsidR="00486151">
              <w:rPr>
                <w:noProof/>
                <w:webHidden/>
              </w:rPr>
              <w:t>6</w:t>
            </w:r>
            <w:r w:rsidR="00612AE8">
              <w:rPr>
                <w:noProof/>
                <w:webHidden/>
              </w:rPr>
              <w:fldChar w:fldCharType="end"/>
            </w:r>
          </w:hyperlink>
        </w:p>
        <w:p w:rsidR="00612AE8" w:rsidRDefault="002E56D0">
          <w:pPr>
            <w:pStyle w:val="Sommario3"/>
            <w:tabs>
              <w:tab w:val="right" w:leader="dot" w:pos="9628"/>
            </w:tabs>
            <w:rPr>
              <w:noProof/>
              <w:lang w:eastAsia="it-IT"/>
            </w:rPr>
          </w:pPr>
          <w:hyperlink w:anchor="_Toc43459029" w:history="1">
            <w:r w:rsidR="00612AE8" w:rsidRPr="00482FE6">
              <w:rPr>
                <w:rStyle w:val="Collegamentoipertestuale"/>
                <w:rFonts w:ascii="Garamond" w:hAnsi="Garamond"/>
                <w:noProof/>
              </w:rPr>
              <w:t>8.1 Gli obiettivi strategici in materia di trasparenza</w:t>
            </w:r>
            <w:r w:rsidR="00612AE8">
              <w:rPr>
                <w:noProof/>
                <w:webHidden/>
              </w:rPr>
              <w:tab/>
            </w:r>
            <w:r w:rsidR="00612AE8">
              <w:rPr>
                <w:noProof/>
                <w:webHidden/>
              </w:rPr>
              <w:fldChar w:fldCharType="begin"/>
            </w:r>
            <w:r w:rsidR="00612AE8">
              <w:rPr>
                <w:noProof/>
                <w:webHidden/>
              </w:rPr>
              <w:instrText xml:space="preserve"> PAGEREF _Toc43459029 \h </w:instrText>
            </w:r>
            <w:r w:rsidR="00612AE8">
              <w:rPr>
                <w:noProof/>
                <w:webHidden/>
              </w:rPr>
            </w:r>
            <w:r w:rsidR="00612AE8">
              <w:rPr>
                <w:noProof/>
                <w:webHidden/>
              </w:rPr>
              <w:fldChar w:fldCharType="separate"/>
            </w:r>
            <w:r w:rsidR="00486151">
              <w:rPr>
                <w:noProof/>
                <w:webHidden/>
              </w:rPr>
              <w:t>6</w:t>
            </w:r>
            <w:r w:rsidR="00612AE8">
              <w:rPr>
                <w:noProof/>
                <w:webHidden/>
              </w:rPr>
              <w:fldChar w:fldCharType="end"/>
            </w:r>
          </w:hyperlink>
        </w:p>
        <w:p w:rsidR="00612AE8" w:rsidRDefault="002E56D0">
          <w:pPr>
            <w:pStyle w:val="Sommario3"/>
            <w:tabs>
              <w:tab w:val="right" w:leader="dot" w:pos="9628"/>
            </w:tabs>
            <w:rPr>
              <w:noProof/>
              <w:lang w:eastAsia="it-IT"/>
            </w:rPr>
          </w:pPr>
          <w:hyperlink w:anchor="_Toc43459030" w:history="1">
            <w:r w:rsidR="00612AE8" w:rsidRPr="00482FE6">
              <w:rPr>
                <w:rStyle w:val="Collegamentoipertestuale"/>
                <w:rFonts w:ascii="Garamond" w:hAnsi="Garamond"/>
                <w:noProof/>
              </w:rPr>
              <w:t>8.2 Individuazione dei responsabili della trasmissione, della pubblicazione e dell’aggiornamento dei dati</w:t>
            </w:r>
            <w:r w:rsidR="00612AE8">
              <w:rPr>
                <w:noProof/>
                <w:webHidden/>
              </w:rPr>
              <w:tab/>
            </w:r>
            <w:r w:rsidR="00612AE8">
              <w:rPr>
                <w:noProof/>
                <w:webHidden/>
              </w:rPr>
              <w:fldChar w:fldCharType="begin"/>
            </w:r>
            <w:r w:rsidR="00612AE8">
              <w:rPr>
                <w:noProof/>
                <w:webHidden/>
              </w:rPr>
              <w:instrText xml:space="preserve"> PAGEREF _Toc43459030 \h </w:instrText>
            </w:r>
            <w:r w:rsidR="00612AE8">
              <w:rPr>
                <w:noProof/>
                <w:webHidden/>
              </w:rPr>
            </w:r>
            <w:r w:rsidR="00612AE8">
              <w:rPr>
                <w:noProof/>
                <w:webHidden/>
              </w:rPr>
              <w:fldChar w:fldCharType="separate"/>
            </w:r>
            <w:r w:rsidR="00486151">
              <w:rPr>
                <w:noProof/>
                <w:webHidden/>
              </w:rPr>
              <w:t>7</w:t>
            </w:r>
            <w:r w:rsidR="00612AE8">
              <w:rPr>
                <w:noProof/>
                <w:webHidden/>
              </w:rPr>
              <w:fldChar w:fldCharType="end"/>
            </w:r>
          </w:hyperlink>
        </w:p>
        <w:p w:rsidR="00612AE8" w:rsidRDefault="002E56D0">
          <w:pPr>
            <w:pStyle w:val="Sommario3"/>
            <w:tabs>
              <w:tab w:val="right" w:leader="dot" w:pos="9628"/>
            </w:tabs>
            <w:rPr>
              <w:noProof/>
              <w:lang w:eastAsia="it-IT"/>
            </w:rPr>
          </w:pPr>
          <w:hyperlink w:anchor="_Toc43459031" w:history="1">
            <w:r w:rsidR="00612AE8" w:rsidRPr="00482FE6">
              <w:rPr>
                <w:rStyle w:val="Collegamentoipertestuale"/>
                <w:rFonts w:ascii="Garamond" w:hAnsi="Garamond"/>
                <w:noProof/>
              </w:rPr>
              <w:t>8.3 Misure di monitoraggio e vigilanza sull’attuazione degli obblighi di trasparenza</w:t>
            </w:r>
            <w:r w:rsidR="00612AE8">
              <w:rPr>
                <w:noProof/>
                <w:webHidden/>
              </w:rPr>
              <w:tab/>
            </w:r>
            <w:r w:rsidR="00612AE8">
              <w:rPr>
                <w:noProof/>
                <w:webHidden/>
              </w:rPr>
              <w:fldChar w:fldCharType="begin"/>
            </w:r>
            <w:r w:rsidR="00612AE8">
              <w:rPr>
                <w:noProof/>
                <w:webHidden/>
              </w:rPr>
              <w:instrText xml:space="preserve"> PAGEREF _Toc43459031 \h </w:instrText>
            </w:r>
            <w:r w:rsidR="00612AE8">
              <w:rPr>
                <w:noProof/>
                <w:webHidden/>
              </w:rPr>
            </w:r>
            <w:r w:rsidR="00612AE8">
              <w:rPr>
                <w:noProof/>
                <w:webHidden/>
              </w:rPr>
              <w:fldChar w:fldCharType="separate"/>
            </w:r>
            <w:r w:rsidR="00486151">
              <w:rPr>
                <w:noProof/>
                <w:webHidden/>
              </w:rPr>
              <w:t>7</w:t>
            </w:r>
            <w:r w:rsidR="00612AE8">
              <w:rPr>
                <w:noProof/>
                <w:webHidden/>
              </w:rPr>
              <w:fldChar w:fldCharType="end"/>
            </w:r>
          </w:hyperlink>
        </w:p>
        <w:p w:rsidR="00612AE8" w:rsidRDefault="002E56D0">
          <w:pPr>
            <w:pStyle w:val="Sommario1"/>
            <w:tabs>
              <w:tab w:val="left" w:pos="440"/>
              <w:tab w:val="right" w:leader="dot" w:pos="9628"/>
            </w:tabs>
            <w:rPr>
              <w:noProof/>
              <w:lang w:eastAsia="it-IT"/>
            </w:rPr>
          </w:pPr>
          <w:hyperlink w:anchor="_Toc43459032" w:history="1">
            <w:r w:rsidR="00612AE8" w:rsidRPr="00482FE6">
              <w:rPr>
                <w:rStyle w:val="Collegamentoipertestuale"/>
                <w:rFonts w:ascii="Garamond" w:hAnsi="Garamond"/>
                <w:b/>
                <w:noProof/>
              </w:rPr>
              <w:t>9.</w:t>
            </w:r>
            <w:r w:rsidR="00612AE8">
              <w:rPr>
                <w:noProof/>
                <w:lang w:eastAsia="it-IT"/>
              </w:rPr>
              <w:tab/>
            </w:r>
            <w:r w:rsidR="00612AE8" w:rsidRPr="00482FE6">
              <w:rPr>
                <w:rStyle w:val="Collegamentoipertestuale"/>
                <w:rFonts w:ascii="Garamond" w:hAnsi="Garamond"/>
                <w:b/>
                <w:noProof/>
              </w:rPr>
              <w:t>Ulteriori iniziative finalizzate alla trasparenza</w:t>
            </w:r>
            <w:r w:rsidR="00612AE8">
              <w:rPr>
                <w:noProof/>
                <w:webHidden/>
              </w:rPr>
              <w:tab/>
            </w:r>
            <w:r w:rsidR="00612AE8">
              <w:rPr>
                <w:noProof/>
                <w:webHidden/>
              </w:rPr>
              <w:fldChar w:fldCharType="begin"/>
            </w:r>
            <w:r w:rsidR="00612AE8">
              <w:rPr>
                <w:noProof/>
                <w:webHidden/>
              </w:rPr>
              <w:instrText xml:space="preserve"> PAGEREF _Toc43459032 \h </w:instrText>
            </w:r>
            <w:r w:rsidR="00612AE8">
              <w:rPr>
                <w:noProof/>
                <w:webHidden/>
              </w:rPr>
            </w:r>
            <w:r w:rsidR="00612AE8">
              <w:rPr>
                <w:noProof/>
                <w:webHidden/>
              </w:rPr>
              <w:fldChar w:fldCharType="separate"/>
            </w:r>
            <w:r w:rsidR="00486151">
              <w:rPr>
                <w:noProof/>
                <w:webHidden/>
              </w:rPr>
              <w:t>8</w:t>
            </w:r>
            <w:r w:rsidR="00612AE8">
              <w:rPr>
                <w:noProof/>
                <w:webHidden/>
              </w:rPr>
              <w:fldChar w:fldCharType="end"/>
            </w:r>
          </w:hyperlink>
        </w:p>
        <w:p w:rsidR="00D5342B" w:rsidRPr="00AF6535" w:rsidRDefault="00D5342B" w:rsidP="001214C3">
          <w:pPr>
            <w:pStyle w:val="Sommario1"/>
            <w:tabs>
              <w:tab w:val="right" w:leader="dot" w:pos="9628"/>
            </w:tabs>
            <w:rPr>
              <w:rFonts w:ascii="Garamond" w:hAnsi="Garamond"/>
              <w:sz w:val="20"/>
              <w:szCs w:val="20"/>
            </w:rPr>
          </w:pPr>
          <w:r w:rsidRPr="00AF6535">
            <w:rPr>
              <w:rFonts w:ascii="Garamond" w:hAnsi="Garamond"/>
              <w:b/>
              <w:bCs/>
              <w:sz w:val="20"/>
              <w:szCs w:val="20"/>
            </w:rPr>
            <w:fldChar w:fldCharType="end"/>
          </w:r>
        </w:p>
      </w:sdtContent>
    </w:sdt>
    <w:p w:rsidR="00BD5CC2" w:rsidRDefault="00BD5CC2" w:rsidP="00D5342B">
      <w:pPr>
        <w:pStyle w:val="Titolo1"/>
        <w:rPr>
          <w:rFonts w:ascii="Garamond" w:hAnsi="Garamond"/>
          <w:b/>
          <w:sz w:val="28"/>
          <w:szCs w:val="28"/>
        </w:rPr>
      </w:pPr>
    </w:p>
    <w:p w:rsidR="00BD5CC2" w:rsidRDefault="00BD5CC2" w:rsidP="00D5342B">
      <w:pPr>
        <w:pStyle w:val="Titolo1"/>
        <w:rPr>
          <w:rFonts w:ascii="Garamond" w:hAnsi="Garamond"/>
          <w:b/>
          <w:sz w:val="28"/>
          <w:szCs w:val="28"/>
        </w:rPr>
      </w:pPr>
    </w:p>
    <w:p w:rsidR="00BD5CC2" w:rsidRDefault="00BD5CC2" w:rsidP="00BD5CC2"/>
    <w:p w:rsidR="001E3E57" w:rsidRDefault="001E3E57" w:rsidP="00BD5CC2"/>
    <w:p w:rsidR="001E3E57" w:rsidRDefault="001E3E57" w:rsidP="00BD5CC2"/>
    <w:p w:rsidR="00612AE8" w:rsidRDefault="00612AE8" w:rsidP="00BD5CC2"/>
    <w:p w:rsidR="00BD5CC2" w:rsidRDefault="00BD5CC2" w:rsidP="00BD5CC2"/>
    <w:p w:rsidR="00BD5CC2" w:rsidRPr="00BD5CC2" w:rsidRDefault="00BD5CC2" w:rsidP="00BD5CC2"/>
    <w:p w:rsidR="00D7334A" w:rsidRPr="00326DB9" w:rsidRDefault="00263BCA" w:rsidP="00BF401D">
      <w:pPr>
        <w:pStyle w:val="Titolo1"/>
        <w:numPr>
          <w:ilvl w:val="0"/>
          <w:numId w:val="28"/>
        </w:numPr>
        <w:rPr>
          <w:rFonts w:ascii="Garamond" w:hAnsi="Garamond"/>
          <w:b/>
          <w:sz w:val="28"/>
          <w:szCs w:val="28"/>
        </w:rPr>
      </w:pPr>
      <w:bookmarkStart w:id="0" w:name="_Toc43459019"/>
      <w:r w:rsidRPr="00326DB9">
        <w:rPr>
          <w:rFonts w:ascii="Garamond" w:hAnsi="Garamond"/>
          <w:b/>
          <w:sz w:val="28"/>
          <w:szCs w:val="28"/>
        </w:rPr>
        <w:lastRenderedPageBreak/>
        <w:t>Introduzione</w:t>
      </w:r>
      <w:bookmarkEnd w:id="0"/>
    </w:p>
    <w:p w:rsidR="000D289D" w:rsidRPr="00B87488" w:rsidRDefault="005B7B76" w:rsidP="00DC76C5">
      <w:pPr>
        <w:pStyle w:val="Paragrafoelenco"/>
        <w:numPr>
          <w:ilvl w:val="0"/>
          <w:numId w:val="1"/>
        </w:numPr>
        <w:jc w:val="both"/>
        <w:rPr>
          <w:rFonts w:ascii="Garamond" w:hAnsi="Garamond" w:cs="Times New Roman"/>
          <w:sz w:val="28"/>
          <w:szCs w:val="28"/>
        </w:rPr>
      </w:pPr>
      <w:r w:rsidRPr="00B87488">
        <w:rPr>
          <w:rFonts w:ascii="Garamond" w:hAnsi="Garamond" w:cs="Garamond"/>
          <w:color w:val="000000"/>
          <w:sz w:val="28"/>
          <w:szCs w:val="28"/>
        </w:rPr>
        <w:t>Alla luce del nuovo quadro normativo dovuto all’int</w:t>
      </w:r>
      <w:r w:rsidR="00B410B4" w:rsidRPr="00B87488">
        <w:rPr>
          <w:rFonts w:ascii="Garamond" w:hAnsi="Garamond" w:cs="Garamond"/>
          <w:color w:val="000000"/>
          <w:sz w:val="28"/>
          <w:szCs w:val="28"/>
        </w:rPr>
        <w:t>roduzione</w:t>
      </w:r>
      <w:r w:rsidRPr="00B87488">
        <w:rPr>
          <w:rFonts w:ascii="Garamond" w:hAnsi="Garamond" w:cs="Garamond"/>
          <w:color w:val="000000"/>
          <w:sz w:val="28"/>
          <w:szCs w:val="28"/>
        </w:rPr>
        <w:t xml:space="preserve"> del decreto legislativo 25 maggio 2016 n. 97 recante “</w:t>
      </w:r>
      <w:r w:rsidRPr="00B87488">
        <w:rPr>
          <w:rFonts w:ascii="Garamond" w:hAnsi="Garamond" w:cs="Garamond"/>
          <w:i/>
          <w:color w:val="000000"/>
          <w:sz w:val="28"/>
          <w:szCs w:val="28"/>
        </w:rPr>
        <w:t>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w:t>
      </w:r>
      <w:r w:rsidR="00B410B4" w:rsidRPr="00B87488">
        <w:rPr>
          <w:rFonts w:ascii="Garamond" w:hAnsi="Garamond" w:cs="Garamond"/>
          <w:i/>
          <w:color w:val="000000"/>
          <w:sz w:val="28"/>
          <w:szCs w:val="28"/>
        </w:rPr>
        <w:t xml:space="preserve"> </w:t>
      </w:r>
      <w:r w:rsidRPr="00B87488">
        <w:rPr>
          <w:rFonts w:ascii="Garamond" w:hAnsi="Garamond" w:cs="Garamond"/>
          <w:i/>
          <w:color w:val="000000"/>
          <w:sz w:val="28"/>
          <w:szCs w:val="28"/>
        </w:rPr>
        <w:t xml:space="preserve">delle amministrazioni pubbliche”, </w:t>
      </w:r>
      <w:r w:rsidR="00B410B4" w:rsidRPr="00B87488">
        <w:rPr>
          <w:rFonts w:ascii="Garamond" w:hAnsi="Garamond" w:cs="Garamond"/>
          <w:i/>
          <w:color w:val="000000"/>
          <w:sz w:val="28"/>
          <w:szCs w:val="28"/>
        </w:rPr>
        <w:tab/>
      </w:r>
      <w:r w:rsidR="00B410B4" w:rsidRPr="00B87488">
        <w:rPr>
          <w:rFonts w:ascii="Garamond" w:hAnsi="Garamond" w:cs="Garamond"/>
          <w:color w:val="000000"/>
          <w:sz w:val="28"/>
          <w:szCs w:val="28"/>
        </w:rPr>
        <w:t xml:space="preserve">e alla successiva Delibera </w:t>
      </w:r>
      <w:proofErr w:type="spellStart"/>
      <w:r w:rsidR="00B410B4" w:rsidRPr="00B87488">
        <w:rPr>
          <w:rFonts w:ascii="Garamond" w:hAnsi="Garamond" w:cs="Garamond"/>
          <w:color w:val="000000"/>
          <w:sz w:val="28"/>
          <w:szCs w:val="28"/>
        </w:rPr>
        <w:t>Anac</w:t>
      </w:r>
      <w:proofErr w:type="spellEnd"/>
      <w:r w:rsidR="00B410B4" w:rsidRPr="00B87488">
        <w:rPr>
          <w:rFonts w:ascii="Garamond" w:hAnsi="Garamond" w:cs="Garamond"/>
          <w:color w:val="000000"/>
          <w:sz w:val="28"/>
          <w:szCs w:val="28"/>
        </w:rPr>
        <w:t xml:space="preserve"> n. 1134 del 08/11/2017 “</w:t>
      </w:r>
      <w:r w:rsidR="00B410B4" w:rsidRPr="00B87488">
        <w:rPr>
          <w:rFonts w:ascii="Garamond" w:hAnsi="Garamond" w:cs="Garamond"/>
          <w:i/>
          <w:color w:val="000000"/>
          <w:sz w:val="28"/>
          <w:szCs w:val="28"/>
        </w:rPr>
        <w:t xml:space="preserve">Nuove linee guida per l’attuazione della normativa in materia di prevenzione della corruzione e della trasparenza da parte delle società e degli enti di diritto privato controllati e partecipati dalle pubbliche amministrazioni e degli enti pubblici economici”, </w:t>
      </w:r>
      <w:r w:rsidR="00D7334A" w:rsidRPr="00B87488">
        <w:rPr>
          <w:rFonts w:ascii="Garamond" w:hAnsi="Garamond" w:cs="Garamond"/>
          <w:color w:val="000000"/>
          <w:sz w:val="28"/>
          <w:szCs w:val="28"/>
        </w:rPr>
        <w:t>Fondazione Banca degli Occhi del Veneto Onlus – C.F. 02320670272 – di seguito “Fondazione”, con sede legale in Venezia, Padiglione Rama, Via Paccagnella n. 11, identificata da Regione del Veneto quale Ente di Diritto Privato</w:t>
      </w:r>
      <w:r w:rsidR="00900A70" w:rsidRPr="00B87488">
        <w:rPr>
          <w:rFonts w:ascii="Garamond" w:hAnsi="Garamond" w:cs="Garamond"/>
          <w:color w:val="000000"/>
          <w:sz w:val="28"/>
          <w:szCs w:val="28"/>
        </w:rPr>
        <w:t>,</w:t>
      </w:r>
      <w:r w:rsidR="00D7334A" w:rsidRPr="00B87488">
        <w:rPr>
          <w:rFonts w:ascii="Garamond" w:hAnsi="Garamond" w:cs="Garamond"/>
          <w:color w:val="000000"/>
          <w:sz w:val="28"/>
          <w:szCs w:val="28"/>
        </w:rPr>
        <w:t xml:space="preserve"> </w:t>
      </w:r>
      <w:r w:rsidR="00611991" w:rsidRPr="00B87488">
        <w:rPr>
          <w:rFonts w:ascii="Garamond" w:hAnsi="Garamond" w:cs="Garamond"/>
          <w:color w:val="000000"/>
          <w:sz w:val="28"/>
          <w:szCs w:val="28"/>
        </w:rPr>
        <w:t xml:space="preserve">si è dotata </w:t>
      </w:r>
      <w:r w:rsidR="00D7334A" w:rsidRPr="00B87488">
        <w:rPr>
          <w:rFonts w:ascii="Garamond" w:hAnsi="Garamond" w:cs="Garamond"/>
          <w:color w:val="000000"/>
          <w:sz w:val="28"/>
          <w:szCs w:val="28"/>
        </w:rPr>
        <w:t xml:space="preserve"> </w:t>
      </w:r>
      <w:r w:rsidR="00611991" w:rsidRPr="00B87488">
        <w:rPr>
          <w:rFonts w:ascii="Garamond" w:hAnsi="Garamond" w:cs="Garamond"/>
          <w:color w:val="000000"/>
          <w:sz w:val="28"/>
          <w:szCs w:val="28"/>
        </w:rPr>
        <w:t xml:space="preserve">di un Piano della triennale della Trasparenza al fine di </w:t>
      </w:r>
      <w:r w:rsidR="00611991" w:rsidRPr="00B87488">
        <w:rPr>
          <w:rFonts w:ascii="Garamond" w:hAnsi="Garamond" w:cs="Times New Roman"/>
          <w:sz w:val="28"/>
          <w:szCs w:val="28"/>
        </w:rPr>
        <w:t>attuare le misure previste in materia di pubblicazione di dati e informazioni.</w:t>
      </w:r>
      <w:r w:rsidR="000D289D" w:rsidRPr="00B87488">
        <w:rPr>
          <w:rFonts w:ascii="Garamond" w:hAnsi="Garamond" w:cs="Times New Roman"/>
          <w:sz w:val="28"/>
          <w:szCs w:val="28"/>
        </w:rPr>
        <w:t xml:space="preserve"> Non è stato adottato </w:t>
      </w:r>
      <w:r w:rsidR="00FE350F">
        <w:rPr>
          <w:rFonts w:ascii="Garamond" w:hAnsi="Garamond" w:cs="Times New Roman"/>
          <w:sz w:val="28"/>
          <w:szCs w:val="28"/>
        </w:rPr>
        <w:t xml:space="preserve">il </w:t>
      </w:r>
      <w:r w:rsidR="000D289D" w:rsidRPr="00B87488">
        <w:rPr>
          <w:rFonts w:ascii="Garamond" w:hAnsi="Garamond" w:cs="Times New Roman"/>
          <w:sz w:val="28"/>
          <w:szCs w:val="28"/>
        </w:rPr>
        <w:t xml:space="preserve">Piano di prevenzione della </w:t>
      </w:r>
      <w:r w:rsidR="00FE350F">
        <w:rPr>
          <w:rFonts w:ascii="Garamond" w:hAnsi="Garamond" w:cs="Times New Roman"/>
          <w:sz w:val="28"/>
          <w:szCs w:val="28"/>
        </w:rPr>
        <w:t>C</w:t>
      </w:r>
      <w:r w:rsidR="000D289D" w:rsidRPr="00B87488">
        <w:rPr>
          <w:rFonts w:ascii="Garamond" w:hAnsi="Garamond" w:cs="Times New Roman"/>
          <w:sz w:val="28"/>
          <w:szCs w:val="28"/>
        </w:rPr>
        <w:t>orruzione poich</w:t>
      </w:r>
      <w:bookmarkStart w:id="1" w:name="_GoBack"/>
      <w:bookmarkEnd w:id="1"/>
      <w:r w:rsidR="000D289D" w:rsidRPr="00B87488">
        <w:rPr>
          <w:rFonts w:ascii="Garamond" w:hAnsi="Garamond" w:cs="Times New Roman"/>
          <w:sz w:val="28"/>
          <w:szCs w:val="28"/>
        </w:rPr>
        <w:t xml:space="preserve">é in base </w:t>
      </w:r>
      <w:bookmarkStart w:id="2" w:name="_Toc43459020"/>
      <w:r w:rsidR="000D289D" w:rsidRPr="00B87488">
        <w:rPr>
          <w:rFonts w:ascii="Garamond" w:hAnsi="Garamond" w:cs="Times New Roman"/>
          <w:sz w:val="28"/>
          <w:szCs w:val="28"/>
        </w:rPr>
        <w:t xml:space="preserve">al Decreto Legislativo </w:t>
      </w:r>
      <w:r w:rsidR="000D289D" w:rsidRPr="00B87488">
        <w:rPr>
          <w:rFonts w:ascii="Garamond" w:hAnsi="Garamond" w:cs="Times New Roman"/>
          <w:sz w:val="28"/>
          <w:szCs w:val="28"/>
        </w:rPr>
        <w:t xml:space="preserve">14 marzo 2013, n. 33 </w:t>
      </w:r>
      <w:r w:rsidR="000D289D" w:rsidRPr="00B87488">
        <w:rPr>
          <w:rFonts w:ascii="Garamond" w:hAnsi="Garamond" w:cs="Garamond"/>
          <w:i/>
          <w:color w:val="000000"/>
          <w:sz w:val="28"/>
          <w:szCs w:val="28"/>
        </w:rPr>
        <w:t>“Riordino della disciplina riguardante il diritto di accesso civico e gli obblighi di pubblicità, trasparenza e diffusione di informazioni da parte delle pubbliche amministrazioni</w:t>
      </w:r>
      <w:r w:rsidR="00B87488" w:rsidRPr="00B87488">
        <w:rPr>
          <w:rFonts w:ascii="Garamond" w:hAnsi="Garamond" w:cs="Garamond"/>
          <w:color w:val="000000"/>
          <w:sz w:val="28"/>
          <w:szCs w:val="28"/>
        </w:rPr>
        <w:t xml:space="preserve">” art. 2 bis Fondazione rientra nel comma 3 di tale articolo </w:t>
      </w:r>
      <w:r w:rsidR="00B87488">
        <w:rPr>
          <w:rFonts w:ascii="Garamond" w:hAnsi="Garamond" w:cs="Garamond"/>
          <w:color w:val="000000"/>
          <w:sz w:val="28"/>
          <w:szCs w:val="28"/>
        </w:rPr>
        <w:t>e come tale è esclusa dall’ambito di applicazione delle misure di prevenzione della corruzione, diverse dalla trasparenza.</w:t>
      </w:r>
    </w:p>
    <w:p w:rsidR="00D7334A" w:rsidRPr="00BF401D" w:rsidRDefault="00EF0C93" w:rsidP="000D289D">
      <w:pPr>
        <w:jc w:val="both"/>
        <w:rPr>
          <w:rFonts w:ascii="Garamond" w:hAnsi="Garamond"/>
          <w:b/>
          <w:sz w:val="28"/>
          <w:szCs w:val="28"/>
        </w:rPr>
      </w:pPr>
      <w:r>
        <w:rPr>
          <w:rFonts w:ascii="Garamond" w:hAnsi="Garamond"/>
          <w:b/>
          <w:sz w:val="28"/>
          <w:szCs w:val="28"/>
        </w:rPr>
        <w:t>Principali n</w:t>
      </w:r>
      <w:r w:rsidR="00A81542" w:rsidRPr="00611991">
        <w:rPr>
          <w:rFonts w:ascii="Garamond" w:hAnsi="Garamond"/>
          <w:b/>
          <w:sz w:val="28"/>
          <w:szCs w:val="28"/>
        </w:rPr>
        <w:t>orme o documenti di riferimento</w:t>
      </w:r>
      <w:bookmarkEnd w:id="2"/>
    </w:p>
    <w:p w:rsidR="00A81542" w:rsidRPr="00BB3A30" w:rsidRDefault="00A81542" w:rsidP="009E134D">
      <w:pPr>
        <w:pStyle w:val="Paragrafoelenco"/>
        <w:numPr>
          <w:ilvl w:val="0"/>
          <w:numId w:val="1"/>
        </w:numPr>
        <w:jc w:val="both"/>
        <w:rPr>
          <w:rFonts w:ascii="Garamond" w:hAnsi="Garamond" w:cs="Times New Roman"/>
          <w:sz w:val="28"/>
          <w:szCs w:val="28"/>
        </w:rPr>
      </w:pPr>
      <w:r w:rsidRPr="00BB3A30">
        <w:rPr>
          <w:rFonts w:ascii="Garamond" w:hAnsi="Garamond" w:cs="Times New Roman"/>
          <w:sz w:val="28"/>
          <w:szCs w:val="28"/>
        </w:rPr>
        <w:t>Decreto legislativo 14 marzo 2013, n. 33</w:t>
      </w:r>
      <w:r w:rsidR="00157DBE">
        <w:rPr>
          <w:rFonts w:ascii="Garamond" w:hAnsi="Garamond" w:cs="Times New Roman"/>
          <w:sz w:val="28"/>
          <w:szCs w:val="28"/>
        </w:rPr>
        <w:t xml:space="preserve"> </w:t>
      </w:r>
      <w:r w:rsidR="00157DBE" w:rsidRPr="001214C3">
        <w:rPr>
          <w:rFonts w:ascii="Garamond" w:hAnsi="Garamond" w:cs="Garamond"/>
          <w:i/>
          <w:color w:val="000000"/>
          <w:sz w:val="28"/>
          <w:szCs w:val="28"/>
        </w:rPr>
        <w:t>“Riordino della disciplina riguardante il diritto di accesso civico e gli obblighi di pubblicità, trasparenza e diffusione di informazioni da parte delle pubbliche amministrazioni</w:t>
      </w:r>
      <w:r w:rsidR="00157DBE" w:rsidRPr="001214C3">
        <w:rPr>
          <w:rFonts w:ascii="Garamond" w:hAnsi="Garamond" w:cs="Garamond"/>
          <w:color w:val="000000"/>
          <w:sz w:val="28"/>
          <w:szCs w:val="28"/>
        </w:rPr>
        <w:t>”</w:t>
      </w:r>
      <w:r w:rsidR="00157DBE">
        <w:rPr>
          <w:rFonts w:ascii="Garamond" w:hAnsi="Garamond" w:cs="Garamond"/>
          <w:color w:val="000000"/>
          <w:sz w:val="28"/>
          <w:szCs w:val="28"/>
        </w:rPr>
        <w:t>;</w:t>
      </w:r>
    </w:p>
    <w:p w:rsidR="00A81542" w:rsidRPr="00BB3A30" w:rsidRDefault="00A81542" w:rsidP="009E134D">
      <w:pPr>
        <w:pStyle w:val="Paragrafoelenco"/>
        <w:numPr>
          <w:ilvl w:val="0"/>
          <w:numId w:val="1"/>
        </w:numPr>
        <w:jc w:val="both"/>
        <w:rPr>
          <w:rFonts w:ascii="Garamond" w:hAnsi="Garamond" w:cs="Times New Roman"/>
          <w:sz w:val="28"/>
          <w:szCs w:val="28"/>
        </w:rPr>
      </w:pPr>
      <w:r w:rsidRPr="00BB3A30">
        <w:rPr>
          <w:rFonts w:ascii="Garamond" w:hAnsi="Garamond" w:cs="Times New Roman"/>
          <w:sz w:val="28"/>
          <w:szCs w:val="28"/>
        </w:rPr>
        <w:t xml:space="preserve">Decreto legislativo </w:t>
      </w:r>
      <w:r w:rsidR="00EF0C93">
        <w:rPr>
          <w:rFonts w:ascii="Garamond" w:hAnsi="Garamond" w:cs="Garamond"/>
          <w:color w:val="000000"/>
          <w:sz w:val="28"/>
          <w:szCs w:val="28"/>
        </w:rPr>
        <w:t>25 maggio 2016 n. 97</w:t>
      </w:r>
      <w:r w:rsidR="00157DBE">
        <w:rPr>
          <w:rFonts w:ascii="Garamond" w:hAnsi="Garamond" w:cs="Times New Roman"/>
          <w:sz w:val="28"/>
          <w:szCs w:val="28"/>
        </w:rPr>
        <w:t xml:space="preserve"> </w:t>
      </w:r>
      <w:r w:rsidR="00157DBE" w:rsidRPr="001214C3">
        <w:rPr>
          <w:rFonts w:ascii="Garamond" w:hAnsi="Garamond" w:cs="Times New Roman"/>
          <w:sz w:val="28"/>
          <w:szCs w:val="28"/>
        </w:rPr>
        <w:t>“</w:t>
      </w:r>
      <w:r w:rsidR="00EF0C93" w:rsidRPr="005B7B76">
        <w:rPr>
          <w:rFonts w:ascii="Garamond" w:hAnsi="Garamond" w:cs="Garamond"/>
          <w:i/>
          <w:color w:val="000000"/>
          <w:sz w:val="28"/>
          <w:szCs w:val="28"/>
        </w:rPr>
        <w:t>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w:t>
      </w:r>
      <w:r w:rsidR="00EF0C93">
        <w:rPr>
          <w:rFonts w:ascii="Garamond" w:hAnsi="Garamond" w:cs="Garamond"/>
          <w:i/>
          <w:color w:val="000000"/>
          <w:sz w:val="28"/>
          <w:szCs w:val="28"/>
        </w:rPr>
        <w:t xml:space="preserve"> </w:t>
      </w:r>
      <w:r w:rsidR="00EF0C93" w:rsidRPr="005B7B76">
        <w:rPr>
          <w:rFonts w:ascii="Garamond" w:hAnsi="Garamond" w:cs="Garamond"/>
          <w:i/>
          <w:color w:val="000000"/>
          <w:sz w:val="28"/>
          <w:szCs w:val="28"/>
        </w:rPr>
        <w:t>delle amministrazioni pubbliche</w:t>
      </w:r>
      <w:r w:rsidR="00EF0C93" w:rsidRPr="00B410B4">
        <w:rPr>
          <w:rFonts w:ascii="Garamond" w:hAnsi="Garamond" w:cs="Garamond"/>
          <w:i/>
          <w:color w:val="000000"/>
          <w:sz w:val="28"/>
          <w:szCs w:val="28"/>
        </w:rPr>
        <w:t>”,</w:t>
      </w:r>
    </w:p>
    <w:p w:rsidR="00A81542" w:rsidRPr="00BB3A30" w:rsidRDefault="00A81542" w:rsidP="009E134D">
      <w:pPr>
        <w:pStyle w:val="Paragrafoelenco"/>
        <w:numPr>
          <w:ilvl w:val="0"/>
          <w:numId w:val="1"/>
        </w:numPr>
        <w:jc w:val="both"/>
        <w:rPr>
          <w:rFonts w:ascii="Garamond" w:hAnsi="Garamond" w:cs="Times New Roman"/>
          <w:sz w:val="28"/>
          <w:szCs w:val="28"/>
        </w:rPr>
      </w:pPr>
      <w:r w:rsidRPr="00BB3A30">
        <w:rPr>
          <w:rFonts w:ascii="Garamond" w:hAnsi="Garamond" w:cs="Times New Roman"/>
          <w:sz w:val="28"/>
          <w:szCs w:val="28"/>
        </w:rPr>
        <w:t xml:space="preserve">Delibera </w:t>
      </w:r>
      <w:proofErr w:type="spellStart"/>
      <w:r w:rsidRPr="00BB3A30">
        <w:rPr>
          <w:rFonts w:ascii="Garamond" w:hAnsi="Garamond" w:cs="Times New Roman"/>
          <w:sz w:val="28"/>
          <w:szCs w:val="28"/>
        </w:rPr>
        <w:t>Anac</w:t>
      </w:r>
      <w:proofErr w:type="spellEnd"/>
      <w:r w:rsidRPr="00BB3A30">
        <w:rPr>
          <w:rFonts w:ascii="Garamond" w:hAnsi="Garamond" w:cs="Times New Roman"/>
          <w:sz w:val="28"/>
          <w:szCs w:val="28"/>
        </w:rPr>
        <w:t xml:space="preserve"> n. 1</w:t>
      </w:r>
      <w:r w:rsidR="00EF0C93">
        <w:rPr>
          <w:rFonts w:ascii="Garamond" w:hAnsi="Garamond" w:cs="Times New Roman"/>
          <w:sz w:val="28"/>
          <w:szCs w:val="28"/>
        </w:rPr>
        <w:t>134</w:t>
      </w:r>
      <w:r w:rsidRPr="00BB3A30">
        <w:rPr>
          <w:rFonts w:ascii="Garamond" w:hAnsi="Garamond" w:cs="Times New Roman"/>
          <w:sz w:val="28"/>
          <w:szCs w:val="28"/>
        </w:rPr>
        <w:t xml:space="preserve"> </w:t>
      </w:r>
      <w:r w:rsidR="00EF0C93">
        <w:rPr>
          <w:rFonts w:ascii="Garamond" w:hAnsi="Garamond" w:cs="Garamond"/>
          <w:color w:val="000000"/>
          <w:sz w:val="28"/>
          <w:szCs w:val="28"/>
        </w:rPr>
        <w:t>“</w:t>
      </w:r>
      <w:r w:rsidR="00EF0C93" w:rsidRPr="00B410B4">
        <w:rPr>
          <w:rFonts w:ascii="Garamond" w:hAnsi="Garamond" w:cs="Garamond"/>
          <w:i/>
          <w:color w:val="000000"/>
          <w:sz w:val="28"/>
          <w:szCs w:val="28"/>
        </w:rPr>
        <w:t>Nuove linee guida per l’attuazione della normativa in materia di prevenzione della corruzione e della trasparenza da parte delle società e degli enti di diritto privato controllati e partecipati dalle pubbliche amministrazioni e degli enti pubblici economici”</w:t>
      </w:r>
      <w:r w:rsidR="00EF0C93">
        <w:rPr>
          <w:rFonts w:ascii="Garamond" w:hAnsi="Garamond" w:cs="Garamond"/>
          <w:i/>
          <w:color w:val="000000"/>
          <w:sz w:val="28"/>
          <w:szCs w:val="28"/>
        </w:rPr>
        <w:t>,</w:t>
      </w:r>
    </w:p>
    <w:p w:rsidR="00C14366" w:rsidRDefault="00157DBE" w:rsidP="009E134D">
      <w:pPr>
        <w:pStyle w:val="Paragrafoelenco"/>
        <w:numPr>
          <w:ilvl w:val="0"/>
          <w:numId w:val="1"/>
        </w:numPr>
        <w:jc w:val="both"/>
        <w:rPr>
          <w:rFonts w:ascii="Garamond" w:eastAsiaTheme="minorHAnsi" w:hAnsi="Garamond" w:cs="Times New Roman"/>
          <w:sz w:val="28"/>
          <w:szCs w:val="28"/>
        </w:rPr>
      </w:pPr>
      <w:r>
        <w:rPr>
          <w:rFonts w:ascii="Garamond" w:eastAsiaTheme="minorHAnsi" w:hAnsi="Garamond" w:cs="Times New Roman"/>
          <w:sz w:val="28"/>
          <w:szCs w:val="28"/>
        </w:rPr>
        <w:t xml:space="preserve">Delibera </w:t>
      </w:r>
      <w:proofErr w:type="spellStart"/>
      <w:r>
        <w:rPr>
          <w:rFonts w:ascii="Garamond" w:eastAsiaTheme="minorHAnsi" w:hAnsi="Garamond" w:cs="Times New Roman"/>
          <w:sz w:val="28"/>
          <w:szCs w:val="28"/>
        </w:rPr>
        <w:t>Anac</w:t>
      </w:r>
      <w:proofErr w:type="spellEnd"/>
      <w:r>
        <w:rPr>
          <w:rFonts w:ascii="Garamond" w:eastAsiaTheme="minorHAnsi" w:hAnsi="Garamond" w:cs="Times New Roman"/>
          <w:sz w:val="28"/>
          <w:szCs w:val="28"/>
        </w:rPr>
        <w:t xml:space="preserve"> n. 213 del 04 marzo 2020</w:t>
      </w:r>
      <w:r w:rsidR="00EF0C93">
        <w:rPr>
          <w:rFonts w:ascii="Garamond" w:eastAsiaTheme="minorHAnsi" w:hAnsi="Garamond" w:cs="Times New Roman"/>
          <w:sz w:val="28"/>
          <w:szCs w:val="28"/>
        </w:rPr>
        <w:t xml:space="preserve"> “</w:t>
      </w:r>
      <w:r w:rsidR="00EF0C93" w:rsidRPr="00EF0C93">
        <w:rPr>
          <w:rFonts w:ascii="Garamond" w:eastAsiaTheme="minorHAnsi" w:hAnsi="Garamond" w:cs="Times New Roman"/>
          <w:i/>
          <w:sz w:val="28"/>
          <w:szCs w:val="28"/>
        </w:rPr>
        <w:t>Attestazioni OIV, o strutture con funzioni analoghe, sull’assolvimento degli obblighi di pubblicazione al 31 marzo e attività di vigilanza dell’Autorità</w:t>
      </w:r>
      <w:r w:rsidR="00EF0C93">
        <w:rPr>
          <w:rFonts w:ascii="Garamond" w:eastAsiaTheme="minorHAnsi" w:hAnsi="Garamond" w:cs="Times New Roman"/>
          <w:sz w:val="28"/>
          <w:szCs w:val="28"/>
        </w:rPr>
        <w:t>;</w:t>
      </w:r>
    </w:p>
    <w:p w:rsidR="00157DBE" w:rsidRPr="00BB3A30" w:rsidRDefault="00157DBE" w:rsidP="009E134D">
      <w:pPr>
        <w:pStyle w:val="Paragrafoelenco"/>
        <w:numPr>
          <w:ilvl w:val="0"/>
          <w:numId w:val="1"/>
        </w:numPr>
        <w:jc w:val="both"/>
        <w:rPr>
          <w:rFonts w:ascii="Garamond" w:eastAsiaTheme="minorHAnsi" w:hAnsi="Garamond" w:cs="Times New Roman"/>
          <w:sz w:val="28"/>
          <w:szCs w:val="28"/>
        </w:rPr>
      </w:pPr>
      <w:r>
        <w:rPr>
          <w:rFonts w:ascii="Garamond" w:eastAsiaTheme="minorHAnsi" w:hAnsi="Garamond" w:cs="Times New Roman"/>
          <w:sz w:val="28"/>
          <w:szCs w:val="28"/>
        </w:rPr>
        <w:t xml:space="preserve">Comunicato del Presidente </w:t>
      </w:r>
      <w:proofErr w:type="spellStart"/>
      <w:r w:rsidR="008815ED" w:rsidRPr="00D42D2F">
        <w:rPr>
          <w:rFonts w:ascii="Garamond" w:eastAsiaTheme="minorHAnsi" w:hAnsi="Garamond" w:cs="Times New Roman"/>
          <w:sz w:val="28"/>
          <w:szCs w:val="28"/>
        </w:rPr>
        <w:t>Anac</w:t>
      </w:r>
      <w:proofErr w:type="spellEnd"/>
      <w:r w:rsidR="008815ED">
        <w:rPr>
          <w:rFonts w:ascii="Garamond" w:eastAsiaTheme="minorHAnsi" w:hAnsi="Garamond" w:cs="Times New Roman"/>
          <w:sz w:val="28"/>
          <w:szCs w:val="28"/>
        </w:rPr>
        <w:t xml:space="preserve"> </w:t>
      </w:r>
      <w:r>
        <w:rPr>
          <w:rFonts w:ascii="Garamond" w:eastAsiaTheme="minorHAnsi" w:hAnsi="Garamond" w:cs="Times New Roman"/>
          <w:sz w:val="28"/>
          <w:szCs w:val="28"/>
        </w:rPr>
        <w:t>del 12 marzo 2020.</w:t>
      </w:r>
    </w:p>
    <w:p w:rsidR="00326DB9" w:rsidRPr="009E134D" w:rsidRDefault="00326DB9" w:rsidP="00612AE8">
      <w:pPr>
        <w:pStyle w:val="Titolo1"/>
        <w:numPr>
          <w:ilvl w:val="0"/>
          <w:numId w:val="28"/>
        </w:numPr>
        <w:rPr>
          <w:rFonts w:ascii="Garamond" w:hAnsi="Garamond"/>
          <w:b/>
          <w:sz w:val="28"/>
          <w:szCs w:val="28"/>
        </w:rPr>
      </w:pPr>
      <w:bookmarkStart w:id="3" w:name="_Toc43459021"/>
      <w:r w:rsidRPr="009E134D">
        <w:rPr>
          <w:rFonts w:ascii="Garamond" w:hAnsi="Garamond"/>
          <w:b/>
          <w:sz w:val="28"/>
          <w:szCs w:val="28"/>
        </w:rPr>
        <w:t>Normative interne</w:t>
      </w:r>
      <w:bookmarkEnd w:id="3"/>
    </w:p>
    <w:p w:rsidR="00326DB9" w:rsidRPr="00326DB9" w:rsidRDefault="00326DB9" w:rsidP="00326DB9">
      <w:pPr>
        <w:rPr>
          <w:rFonts w:ascii="Garamond" w:hAnsi="Garamond"/>
          <w:bCs/>
          <w:sz w:val="28"/>
          <w:szCs w:val="28"/>
        </w:rPr>
      </w:pPr>
      <w:r w:rsidRPr="00326DB9">
        <w:rPr>
          <w:rFonts w:ascii="Garamond" w:hAnsi="Garamond"/>
          <w:bCs/>
          <w:sz w:val="28"/>
          <w:szCs w:val="28"/>
        </w:rPr>
        <w:t>Codice Etico di Fondazione approvato nella riunione del Consiglio</w:t>
      </w:r>
      <w:r>
        <w:rPr>
          <w:rFonts w:ascii="Garamond" w:hAnsi="Garamond"/>
          <w:bCs/>
          <w:sz w:val="28"/>
          <w:szCs w:val="28"/>
        </w:rPr>
        <w:t xml:space="preserve"> </w:t>
      </w:r>
      <w:r w:rsidRPr="00326DB9">
        <w:rPr>
          <w:rFonts w:ascii="Garamond" w:hAnsi="Garamond"/>
          <w:bCs/>
          <w:sz w:val="28"/>
          <w:szCs w:val="28"/>
        </w:rPr>
        <w:t>di Amministrazione tenutasi in data 16 maggio 2011.</w:t>
      </w:r>
    </w:p>
    <w:p w:rsidR="00BF401D" w:rsidRDefault="00326DB9" w:rsidP="00BF401D">
      <w:pPr>
        <w:jc w:val="both"/>
        <w:rPr>
          <w:rFonts w:ascii="Garamond" w:hAnsi="Garamond"/>
          <w:bCs/>
          <w:sz w:val="28"/>
          <w:szCs w:val="28"/>
        </w:rPr>
      </w:pPr>
      <w:r w:rsidRPr="00326DB9">
        <w:rPr>
          <w:rFonts w:ascii="Garamond" w:hAnsi="Garamond"/>
          <w:bCs/>
          <w:sz w:val="28"/>
          <w:szCs w:val="28"/>
        </w:rPr>
        <w:t>Il codice etico è stato elaborato per assicurare che i valori etici di Fondazione siano chiaramente espressi e costituiscano l’elemento fondante della cultura dell’organizzazione, nonché lo standard di comportamento per i dipendenti e collaboratori nella realizzazione della missione e nella conduzione delle attività. Esso esprime la relazione imprescindibile fra valori (individuali, collettivi) e comportamenti coerenti con la missione stessa.</w:t>
      </w:r>
      <w:r w:rsidRPr="00326DB9">
        <w:rPr>
          <w:rFonts w:ascii="Garamond" w:hAnsi="Garamond"/>
          <w:sz w:val="28"/>
          <w:szCs w:val="28"/>
        </w:rPr>
        <w:t xml:space="preserve"> </w:t>
      </w:r>
      <w:r w:rsidRPr="00326DB9">
        <w:rPr>
          <w:rFonts w:ascii="Garamond" w:hAnsi="Garamond"/>
          <w:bCs/>
          <w:sz w:val="28"/>
          <w:szCs w:val="28"/>
        </w:rPr>
        <w:t xml:space="preserve">All’osservanza del Codice Etico sono tenuti i dipendenti, i collaboratori, gli amministratori. </w:t>
      </w:r>
    </w:p>
    <w:p w:rsidR="00D7334A" w:rsidRPr="00BF401D" w:rsidRDefault="00D7334A" w:rsidP="00612AE8">
      <w:pPr>
        <w:pStyle w:val="Titolo1"/>
        <w:numPr>
          <w:ilvl w:val="0"/>
          <w:numId w:val="28"/>
        </w:numPr>
        <w:rPr>
          <w:rFonts w:ascii="Garamond" w:hAnsi="Garamond"/>
          <w:b/>
          <w:sz w:val="28"/>
          <w:szCs w:val="28"/>
        </w:rPr>
      </w:pPr>
      <w:bookmarkStart w:id="4" w:name="_Toc43459022"/>
      <w:r w:rsidRPr="00BF401D">
        <w:rPr>
          <w:rFonts w:ascii="Garamond" w:hAnsi="Garamond"/>
          <w:b/>
          <w:sz w:val="28"/>
          <w:szCs w:val="28"/>
        </w:rPr>
        <w:t xml:space="preserve">Analisi del contesto </w:t>
      </w:r>
      <w:r w:rsidR="00B714A5" w:rsidRPr="00BF401D">
        <w:rPr>
          <w:rFonts w:ascii="Garamond" w:hAnsi="Garamond"/>
          <w:b/>
          <w:sz w:val="28"/>
          <w:szCs w:val="28"/>
        </w:rPr>
        <w:t xml:space="preserve">interno </w:t>
      </w:r>
      <w:r w:rsidRPr="00BF401D">
        <w:rPr>
          <w:rFonts w:ascii="Garamond" w:hAnsi="Garamond"/>
          <w:b/>
          <w:sz w:val="28"/>
          <w:szCs w:val="28"/>
        </w:rPr>
        <w:t>e caratteristiche di Fondazione</w:t>
      </w:r>
      <w:bookmarkEnd w:id="4"/>
      <w:r w:rsidRPr="00BF401D">
        <w:rPr>
          <w:rFonts w:ascii="Garamond" w:hAnsi="Garamond"/>
          <w:b/>
          <w:sz w:val="28"/>
          <w:szCs w:val="28"/>
        </w:rPr>
        <w:t xml:space="preserve"> </w:t>
      </w:r>
    </w:p>
    <w:p w:rsidR="00263BCA" w:rsidRPr="009E134D" w:rsidRDefault="00BF401D" w:rsidP="00D5342B">
      <w:pPr>
        <w:pStyle w:val="Titolo3"/>
        <w:rPr>
          <w:rFonts w:ascii="Garamond" w:hAnsi="Garamond"/>
        </w:rPr>
      </w:pPr>
      <w:bookmarkStart w:id="5" w:name="_Toc43459023"/>
      <w:r>
        <w:rPr>
          <w:rFonts w:ascii="Garamond" w:hAnsi="Garamond"/>
        </w:rPr>
        <w:t xml:space="preserve">4.1 </w:t>
      </w:r>
      <w:r w:rsidR="00520712" w:rsidRPr="009E134D">
        <w:rPr>
          <w:rFonts w:ascii="Garamond" w:hAnsi="Garamond"/>
        </w:rPr>
        <w:t>Riferimenti normativi</w:t>
      </w:r>
      <w:bookmarkEnd w:id="5"/>
    </w:p>
    <w:p w:rsidR="00D7334A" w:rsidRPr="001214C3" w:rsidRDefault="008812F9" w:rsidP="00D5342B">
      <w:pPr>
        <w:jc w:val="both"/>
        <w:rPr>
          <w:rFonts w:ascii="Garamond" w:hAnsi="Garamond"/>
          <w:sz w:val="28"/>
          <w:szCs w:val="28"/>
        </w:rPr>
      </w:pPr>
      <w:r w:rsidRPr="001214C3">
        <w:rPr>
          <w:rFonts w:ascii="Garamond" w:hAnsi="Garamond"/>
          <w:sz w:val="28"/>
          <w:szCs w:val="28"/>
        </w:rPr>
        <w:t xml:space="preserve">La programmazione socio-sanitaria di Regione del Veneto di cui alla Legge regionale n.13/1984 prevedeva la creazione di una banca degli occhi presso ULSS n. 36, Ospedale di Mestre. In conformità alla programmazione regionale, Regione del Veneto e </w:t>
      </w:r>
      <w:proofErr w:type="spellStart"/>
      <w:r w:rsidRPr="001214C3">
        <w:rPr>
          <w:rFonts w:ascii="Garamond" w:hAnsi="Garamond"/>
          <w:sz w:val="28"/>
          <w:szCs w:val="28"/>
        </w:rPr>
        <w:t>Ulss</w:t>
      </w:r>
      <w:proofErr w:type="spellEnd"/>
      <w:r w:rsidRPr="001214C3">
        <w:rPr>
          <w:rFonts w:ascii="Garamond" w:hAnsi="Garamond"/>
          <w:sz w:val="28"/>
          <w:szCs w:val="28"/>
        </w:rPr>
        <w:t xml:space="preserve"> 36 T</w:t>
      </w:r>
      <w:r w:rsidR="00D7334A" w:rsidRPr="001214C3">
        <w:rPr>
          <w:rFonts w:ascii="Garamond" w:hAnsi="Garamond"/>
          <w:sz w:val="28"/>
          <w:szCs w:val="28"/>
        </w:rPr>
        <w:t xml:space="preserve">erraferma Veneziana (ora Azienda Ulss3 Serenissima), costituirono Fondazione Banca degli Occhi del Veneto con atto </w:t>
      </w:r>
      <w:r w:rsidR="00251BEF">
        <w:rPr>
          <w:rFonts w:ascii="Garamond" w:hAnsi="Garamond"/>
          <w:sz w:val="28"/>
          <w:szCs w:val="28"/>
        </w:rPr>
        <w:t xml:space="preserve">n.63.362 rep. (n. 7112 </w:t>
      </w:r>
      <w:proofErr w:type="spellStart"/>
      <w:r w:rsidR="00251BEF">
        <w:rPr>
          <w:rFonts w:ascii="Garamond" w:hAnsi="Garamond"/>
          <w:sz w:val="28"/>
          <w:szCs w:val="28"/>
        </w:rPr>
        <w:t>racc</w:t>
      </w:r>
      <w:proofErr w:type="spellEnd"/>
      <w:r w:rsidR="00D7334A" w:rsidRPr="001214C3">
        <w:rPr>
          <w:rFonts w:ascii="Garamond" w:hAnsi="Garamond"/>
          <w:sz w:val="28"/>
          <w:szCs w:val="28"/>
        </w:rPr>
        <w:t xml:space="preserve"> del 30 settembre 1987, registrato il 19 ottobre stesso anno. </w:t>
      </w:r>
    </w:p>
    <w:p w:rsidR="00D7334A" w:rsidRPr="001214C3" w:rsidRDefault="00D7334A" w:rsidP="00D5342B">
      <w:pPr>
        <w:jc w:val="both"/>
        <w:rPr>
          <w:rFonts w:ascii="Garamond" w:hAnsi="Garamond"/>
          <w:sz w:val="28"/>
          <w:szCs w:val="28"/>
        </w:rPr>
      </w:pPr>
      <w:r w:rsidRPr="001214C3">
        <w:rPr>
          <w:rFonts w:ascii="Garamond" w:hAnsi="Garamond"/>
          <w:sz w:val="28"/>
          <w:szCs w:val="28"/>
        </w:rPr>
        <w:t>Con la Legge n. 301/1993 recante “</w:t>
      </w:r>
      <w:r w:rsidRPr="001214C3">
        <w:rPr>
          <w:rFonts w:ascii="Garamond" w:hAnsi="Garamond"/>
          <w:i/>
          <w:sz w:val="28"/>
          <w:szCs w:val="28"/>
        </w:rPr>
        <w:t>norme in materia di prelievi e innesti di cornea</w:t>
      </w:r>
      <w:r w:rsidR="00A67EDD" w:rsidRPr="001214C3">
        <w:rPr>
          <w:rFonts w:ascii="Garamond" w:hAnsi="Garamond"/>
          <w:sz w:val="28"/>
          <w:szCs w:val="28"/>
        </w:rPr>
        <w:t>”</w:t>
      </w:r>
      <w:r w:rsidRPr="001214C3">
        <w:rPr>
          <w:rFonts w:ascii="Garamond" w:hAnsi="Garamond"/>
          <w:sz w:val="28"/>
          <w:szCs w:val="28"/>
        </w:rPr>
        <w:t xml:space="preserve">, furono introdotte disposizioni in materia di prelievi e innesti corneali: l’art. 4 della legge dispone infatti che “le Regioni, singolarmente o d’intesa tra loro, provvedano all’organizzazione, al funzionamento e al controllo dei centri di riferimento per innesti corneali regionali o interregionali” che hanno (anche) compiti di “deposito e conservazione delle cornee”, di “esame, selezione, eventuale trattamento e consegna delle cornee” e di “promozione della ricerca”. </w:t>
      </w:r>
    </w:p>
    <w:p w:rsidR="00D7334A" w:rsidRPr="001214C3" w:rsidRDefault="00D7334A" w:rsidP="00D5342B">
      <w:pPr>
        <w:jc w:val="both"/>
        <w:rPr>
          <w:rFonts w:ascii="Garamond" w:hAnsi="Garamond"/>
          <w:sz w:val="28"/>
          <w:szCs w:val="28"/>
        </w:rPr>
      </w:pPr>
      <w:r w:rsidRPr="001214C3">
        <w:rPr>
          <w:rFonts w:ascii="Garamond" w:hAnsi="Garamond"/>
          <w:sz w:val="28"/>
          <w:szCs w:val="28"/>
        </w:rPr>
        <w:t xml:space="preserve">Con Delibera di Giunta Regionale n. 5528/1993 la Regione del Veneto prese atto della preesistenza e dell’operatività di Fondazione Banca degli Occhi del Veneto e della sua rispondenza alle funzioni di cui alla legge n. 301/1993 e la individuò quale Centro Regionale di Riferimento per gli innesti corneali prima e successivamente riferimento per la Ricerca sulle Cellule Staminali Epiteliali. </w:t>
      </w:r>
    </w:p>
    <w:p w:rsidR="00D7334A" w:rsidRPr="001214C3" w:rsidRDefault="00D7334A" w:rsidP="00D5342B">
      <w:pPr>
        <w:jc w:val="both"/>
        <w:rPr>
          <w:rFonts w:ascii="Garamond" w:hAnsi="Garamond"/>
          <w:sz w:val="28"/>
          <w:szCs w:val="28"/>
        </w:rPr>
      </w:pPr>
      <w:r w:rsidRPr="001214C3">
        <w:rPr>
          <w:rFonts w:ascii="Garamond" w:hAnsi="Garamond"/>
          <w:sz w:val="28"/>
          <w:szCs w:val="28"/>
        </w:rPr>
        <w:t xml:space="preserve">Fondazione, costituita per il perseguimento di uno scopo di pubblica utilità, è iscritta all’anagrafe delle Organizzazioni Non Lucrative di Utilità Sociale con comunicazione depositata il 22 luglio 1998 presso il Dipartimento delle Entrate – Direzione Regionale del Veneto. È inoltre iscritta nel Registro Regionale delle Persone Giuridiche (istituito ex DPR 361/2000) al n. 83 (ex VE/299 Tribunale di Venezia) del sunnominato registro dal 21 dicembre 2001. </w:t>
      </w:r>
    </w:p>
    <w:p w:rsidR="002F1DF7" w:rsidRPr="001214C3" w:rsidRDefault="00D7334A" w:rsidP="00D5342B">
      <w:pPr>
        <w:jc w:val="both"/>
        <w:rPr>
          <w:rFonts w:ascii="Garamond" w:hAnsi="Garamond"/>
          <w:sz w:val="28"/>
          <w:szCs w:val="28"/>
        </w:rPr>
      </w:pPr>
      <w:r w:rsidRPr="001214C3">
        <w:rPr>
          <w:rFonts w:ascii="Garamond" w:hAnsi="Garamond"/>
          <w:sz w:val="28"/>
          <w:szCs w:val="28"/>
        </w:rPr>
        <w:t>Fondazione raccoglie i tessuti provenienti da donazioni di provenienza principalmente veneta,</w:t>
      </w:r>
      <w:r w:rsidR="006F5FAD" w:rsidRPr="001214C3">
        <w:rPr>
          <w:rFonts w:ascii="Garamond" w:hAnsi="Garamond"/>
          <w:sz w:val="28"/>
          <w:szCs w:val="28"/>
        </w:rPr>
        <w:t xml:space="preserve"> </w:t>
      </w:r>
      <w:r w:rsidRPr="001214C3">
        <w:rPr>
          <w:rFonts w:ascii="Garamond" w:hAnsi="Garamond"/>
          <w:sz w:val="28"/>
          <w:szCs w:val="28"/>
        </w:rPr>
        <w:t xml:space="preserve">che vengono distribuiti in Veneto, Friuli Venezia-Giulia, in Trentino, in numerose regioni italiane e in circa 10 nazioni estere. </w:t>
      </w:r>
    </w:p>
    <w:p w:rsidR="00520712" w:rsidRPr="001214C3" w:rsidRDefault="00BF401D" w:rsidP="00D5342B">
      <w:pPr>
        <w:pStyle w:val="Titolo3"/>
        <w:rPr>
          <w:rFonts w:ascii="Garamond" w:hAnsi="Garamond"/>
        </w:rPr>
      </w:pPr>
      <w:bookmarkStart w:id="6" w:name="_Toc43459024"/>
      <w:r>
        <w:rPr>
          <w:rFonts w:ascii="Garamond" w:hAnsi="Garamond"/>
        </w:rPr>
        <w:t>4.2</w:t>
      </w:r>
      <w:r w:rsidR="00520712" w:rsidRPr="001214C3">
        <w:rPr>
          <w:rFonts w:ascii="Garamond" w:hAnsi="Garamond"/>
        </w:rPr>
        <w:t xml:space="preserve"> Organizzazione</w:t>
      </w:r>
      <w:bookmarkEnd w:id="6"/>
    </w:p>
    <w:p w:rsidR="00A67EDD" w:rsidRPr="001214C3" w:rsidRDefault="00A67EDD" w:rsidP="00D5342B">
      <w:pPr>
        <w:jc w:val="both"/>
        <w:rPr>
          <w:rFonts w:ascii="Garamond" w:hAnsi="Garamond"/>
          <w:sz w:val="28"/>
          <w:szCs w:val="28"/>
        </w:rPr>
      </w:pPr>
      <w:r w:rsidRPr="001214C3">
        <w:rPr>
          <w:rFonts w:ascii="Garamond" w:hAnsi="Garamond"/>
          <w:sz w:val="28"/>
          <w:szCs w:val="28"/>
        </w:rPr>
        <w:t xml:space="preserve">Nata come banca degli occhi, oggi Fondazione è un’organizzazione relativamente complessa, che opera nel settore socio-sanitario erogando servizi che si sono nel tempo differenziati e moltiplicati. </w:t>
      </w:r>
    </w:p>
    <w:p w:rsidR="005C0879" w:rsidRPr="001214C3" w:rsidRDefault="00A67EDD" w:rsidP="00D5342B">
      <w:pPr>
        <w:jc w:val="both"/>
        <w:rPr>
          <w:rFonts w:ascii="Garamond" w:hAnsi="Garamond"/>
          <w:sz w:val="28"/>
          <w:szCs w:val="28"/>
        </w:rPr>
      </w:pPr>
      <w:r w:rsidRPr="001214C3">
        <w:rPr>
          <w:rFonts w:ascii="Garamond" w:hAnsi="Garamond"/>
          <w:sz w:val="28"/>
          <w:szCs w:val="28"/>
        </w:rPr>
        <w:t xml:space="preserve">La sua missione è far sì che la donazione di cornee sia una scelta libera, consapevole e in grado di dare conforto; migliorare la qualità della vita di chi è affetto da malattie oculari, operando a favore del recupero della vista e assistendo chi teme di perderla; migliorare le possibilità di cura delle malattie dell’apparato visivo attraverso un’attività di ricerca eticamente responsabile. </w:t>
      </w:r>
    </w:p>
    <w:p w:rsidR="00A67EDD" w:rsidRDefault="00A67EDD" w:rsidP="00D5342B">
      <w:pPr>
        <w:jc w:val="both"/>
        <w:rPr>
          <w:rFonts w:ascii="Garamond" w:hAnsi="Garamond"/>
          <w:sz w:val="28"/>
          <w:szCs w:val="28"/>
        </w:rPr>
      </w:pPr>
      <w:r w:rsidRPr="001214C3">
        <w:rPr>
          <w:rFonts w:ascii="Garamond" w:hAnsi="Garamond"/>
          <w:sz w:val="28"/>
          <w:szCs w:val="28"/>
        </w:rPr>
        <w:t>Gli Organi di Fondazione, così come sono previsti dallo Statuto</w:t>
      </w:r>
      <w:r w:rsidR="003E47E7">
        <w:rPr>
          <w:rFonts w:ascii="Garamond" w:hAnsi="Garamond"/>
          <w:sz w:val="28"/>
          <w:szCs w:val="28"/>
        </w:rPr>
        <w:t>,</w:t>
      </w:r>
      <w:r w:rsidRPr="001214C3">
        <w:rPr>
          <w:rFonts w:ascii="Garamond" w:hAnsi="Garamond"/>
          <w:sz w:val="28"/>
          <w:szCs w:val="28"/>
        </w:rPr>
        <w:t xml:space="preserve"> sono: </w:t>
      </w:r>
    </w:p>
    <w:p w:rsidR="003E47E7" w:rsidRPr="003E47E7" w:rsidRDefault="003E47E7" w:rsidP="009E134D">
      <w:pPr>
        <w:pStyle w:val="Paragrafoelenco"/>
        <w:numPr>
          <w:ilvl w:val="0"/>
          <w:numId w:val="11"/>
        </w:numPr>
        <w:jc w:val="both"/>
        <w:rPr>
          <w:rFonts w:ascii="Garamond" w:hAnsi="Garamond"/>
          <w:sz w:val="28"/>
          <w:szCs w:val="28"/>
        </w:rPr>
      </w:pPr>
      <w:r w:rsidRPr="003E47E7">
        <w:rPr>
          <w:rFonts w:ascii="Garamond" w:hAnsi="Garamond"/>
          <w:sz w:val="28"/>
          <w:szCs w:val="28"/>
        </w:rPr>
        <w:t>Il Presidente;</w:t>
      </w:r>
    </w:p>
    <w:p w:rsidR="003E47E7" w:rsidRPr="003E47E7" w:rsidRDefault="003E47E7" w:rsidP="009E134D">
      <w:pPr>
        <w:pStyle w:val="Paragrafoelenco"/>
        <w:numPr>
          <w:ilvl w:val="0"/>
          <w:numId w:val="11"/>
        </w:numPr>
        <w:jc w:val="both"/>
        <w:rPr>
          <w:rFonts w:ascii="Garamond" w:hAnsi="Garamond"/>
          <w:sz w:val="28"/>
          <w:szCs w:val="28"/>
        </w:rPr>
      </w:pPr>
      <w:r w:rsidRPr="003E47E7">
        <w:rPr>
          <w:rFonts w:ascii="Garamond" w:hAnsi="Garamond"/>
          <w:sz w:val="28"/>
          <w:szCs w:val="28"/>
        </w:rPr>
        <w:t>Il Consiglio di Amministrazione</w:t>
      </w:r>
      <w:r>
        <w:rPr>
          <w:rFonts w:ascii="Garamond" w:hAnsi="Garamond"/>
          <w:sz w:val="28"/>
          <w:szCs w:val="28"/>
        </w:rPr>
        <w:t>;</w:t>
      </w:r>
    </w:p>
    <w:p w:rsidR="003E47E7" w:rsidRPr="003E47E7" w:rsidRDefault="003E47E7" w:rsidP="009E134D">
      <w:pPr>
        <w:pStyle w:val="Paragrafoelenco"/>
        <w:numPr>
          <w:ilvl w:val="0"/>
          <w:numId w:val="11"/>
        </w:numPr>
        <w:jc w:val="both"/>
        <w:rPr>
          <w:rFonts w:ascii="Garamond" w:hAnsi="Garamond"/>
          <w:sz w:val="28"/>
          <w:szCs w:val="28"/>
        </w:rPr>
      </w:pPr>
      <w:r w:rsidRPr="003E47E7">
        <w:rPr>
          <w:rFonts w:ascii="Garamond" w:hAnsi="Garamond"/>
          <w:sz w:val="28"/>
          <w:szCs w:val="28"/>
        </w:rPr>
        <w:t>Il Direttore Medico;</w:t>
      </w:r>
    </w:p>
    <w:p w:rsidR="003E47E7" w:rsidRPr="003E47E7" w:rsidRDefault="003E47E7" w:rsidP="009E134D">
      <w:pPr>
        <w:pStyle w:val="Paragrafoelenco"/>
        <w:numPr>
          <w:ilvl w:val="0"/>
          <w:numId w:val="11"/>
        </w:numPr>
        <w:jc w:val="both"/>
        <w:rPr>
          <w:rFonts w:ascii="Garamond" w:hAnsi="Garamond"/>
          <w:sz w:val="28"/>
          <w:szCs w:val="28"/>
        </w:rPr>
      </w:pPr>
      <w:r w:rsidRPr="003E47E7">
        <w:rPr>
          <w:rFonts w:ascii="Garamond" w:hAnsi="Garamond"/>
          <w:sz w:val="28"/>
          <w:szCs w:val="28"/>
        </w:rPr>
        <w:t>Il Direttore di Gestione</w:t>
      </w:r>
      <w:r w:rsidR="007A5125">
        <w:rPr>
          <w:rFonts w:ascii="Garamond" w:hAnsi="Garamond"/>
          <w:sz w:val="28"/>
          <w:szCs w:val="28"/>
        </w:rPr>
        <w:t>;</w:t>
      </w:r>
    </w:p>
    <w:p w:rsidR="003E47E7" w:rsidRPr="003E47E7" w:rsidRDefault="00BF401D" w:rsidP="009E134D">
      <w:pPr>
        <w:pStyle w:val="Paragrafoelenco"/>
        <w:numPr>
          <w:ilvl w:val="0"/>
          <w:numId w:val="11"/>
        </w:numPr>
        <w:jc w:val="both"/>
        <w:rPr>
          <w:rFonts w:ascii="Garamond" w:hAnsi="Garamond"/>
          <w:sz w:val="28"/>
          <w:szCs w:val="28"/>
        </w:rPr>
      </w:pPr>
      <w:r>
        <w:rPr>
          <w:rFonts w:ascii="Garamond" w:hAnsi="Garamond"/>
          <w:sz w:val="28"/>
          <w:szCs w:val="28"/>
        </w:rPr>
        <w:t>L’Organo di Controllo</w:t>
      </w:r>
      <w:r w:rsidR="003E47E7">
        <w:rPr>
          <w:rFonts w:ascii="Garamond" w:hAnsi="Garamond"/>
          <w:sz w:val="28"/>
          <w:szCs w:val="28"/>
        </w:rPr>
        <w:t>.</w:t>
      </w:r>
    </w:p>
    <w:p w:rsidR="00A67EDD" w:rsidRDefault="00A67EDD" w:rsidP="00D5342B">
      <w:pPr>
        <w:jc w:val="both"/>
        <w:rPr>
          <w:rFonts w:ascii="Garamond" w:hAnsi="Garamond"/>
          <w:sz w:val="28"/>
          <w:szCs w:val="28"/>
        </w:rPr>
      </w:pPr>
      <w:r w:rsidRPr="00BB3A30">
        <w:rPr>
          <w:rFonts w:ascii="Garamond" w:hAnsi="Garamond"/>
          <w:sz w:val="28"/>
          <w:szCs w:val="28"/>
        </w:rPr>
        <w:t>Le funzioni e i processi di Fondazione sono riassunti nella tabella che segue:</w:t>
      </w:r>
    </w:p>
    <w:tbl>
      <w:tblPr>
        <w:tblStyle w:val="Grigliatabella"/>
        <w:tblW w:w="9624" w:type="dxa"/>
        <w:jc w:val="center"/>
        <w:tblLayout w:type="fixed"/>
        <w:tblLook w:val="01E0" w:firstRow="1" w:lastRow="1" w:firstColumn="1" w:lastColumn="1" w:noHBand="0" w:noVBand="0"/>
      </w:tblPr>
      <w:tblGrid>
        <w:gridCol w:w="2537"/>
        <w:gridCol w:w="1417"/>
        <w:gridCol w:w="1276"/>
        <w:gridCol w:w="1452"/>
        <w:gridCol w:w="2942"/>
      </w:tblGrid>
      <w:tr w:rsidR="00347E30" w:rsidRPr="001A6770" w:rsidTr="00D5342B">
        <w:trPr>
          <w:trHeight w:val="341"/>
          <w:jc w:val="center"/>
        </w:trPr>
        <w:tc>
          <w:tcPr>
            <w:tcW w:w="9624" w:type="dxa"/>
            <w:gridSpan w:val="5"/>
            <w:tcBorders>
              <w:top w:val="double" w:sz="4" w:space="0" w:color="auto"/>
              <w:left w:val="double" w:sz="4" w:space="0" w:color="auto"/>
              <w:bottom w:val="nil"/>
              <w:right w:val="double" w:sz="4" w:space="0" w:color="auto"/>
            </w:tcBorders>
            <w:shd w:val="clear" w:color="auto" w:fill="CCC0D9" w:themeFill="accent4" w:themeFillTint="66"/>
            <w:vAlign w:val="center"/>
          </w:tcPr>
          <w:p w:rsidR="00347E30" w:rsidRPr="001A6770" w:rsidRDefault="00347E30" w:rsidP="00C94D3A">
            <w:pPr>
              <w:jc w:val="center"/>
              <w:rPr>
                <w:rFonts w:ascii="Garamond" w:hAnsi="Garamond" w:cs="Arial"/>
                <w:b/>
                <w:sz w:val="20"/>
                <w:szCs w:val="20"/>
              </w:rPr>
            </w:pPr>
            <w:r w:rsidRPr="001A6770">
              <w:rPr>
                <w:rFonts w:ascii="Garamond" w:hAnsi="Garamond" w:cs="Arial"/>
                <w:b/>
                <w:sz w:val="20"/>
                <w:szCs w:val="20"/>
              </w:rPr>
              <w:t>DIREZIONE</w:t>
            </w:r>
          </w:p>
        </w:tc>
      </w:tr>
      <w:tr w:rsidR="00347E30" w:rsidRPr="001A6770" w:rsidTr="00347E30">
        <w:trPr>
          <w:trHeight w:val="574"/>
          <w:jc w:val="center"/>
        </w:trPr>
        <w:tc>
          <w:tcPr>
            <w:tcW w:w="2537" w:type="dxa"/>
            <w:tcBorders>
              <w:top w:val="double" w:sz="4" w:space="0" w:color="auto"/>
              <w:left w:val="double" w:sz="4" w:space="0" w:color="auto"/>
              <w:bottom w:val="nil"/>
              <w:right w:val="double" w:sz="4" w:space="0" w:color="auto"/>
            </w:tcBorders>
            <w:shd w:val="clear" w:color="auto" w:fill="FFFFC5"/>
          </w:tcPr>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BANCA DEGLI OCCHI</w:t>
            </w:r>
          </w:p>
        </w:tc>
        <w:tc>
          <w:tcPr>
            <w:tcW w:w="1417" w:type="dxa"/>
            <w:tcBorders>
              <w:top w:val="double" w:sz="4" w:space="0" w:color="auto"/>
              <w:left w:val="double" w:sz="4" w:space="0" w:color="auto"/>
              <w:bottom w:val="nil"/>
              <w:right w:val="double" w:sz="4" w:space="0" w:color="auto"/>
            </w:tcBorders>
            <w:shd w:val="clear" w:color="auto" w:fill="E6E6E6"/>
          </w:tcPr>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BIOBANCA</w:t>
            </w:r>
          </w:p>
        </w:tc>
        <w:tc>
          <w:tcPr>
            <w:tcW w:w="1276" w:type="dxa"/>
            <w:tcBorders>
              <w:top w:val="double" w:sz="4" w:space="0" w:color="auto"/>
              <w:left w:val="double" w:sz="4" w:space="0" w:color="auto"/>
              <w:bottom w:val="nil"/>
              <w:right w:val="double" w:sz="4" w:space="0" w:color="auto"/>
            </w:tcBorders>
            <w:shd w:val="clear" w:color="auto" w:fill="CCFFFF"/>
          </w:tcPr>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RICERCA</w:t>
            </w:r>
          </w:p>
        </w:tc>
        <w:tc>
          <w:tcPr>
            <w:tcW w:w="1452" w:type="dxa"/>
            <w:tcBorders>
              <w:top w:val="double" w:sz="4" w:space="0" w:color="auto"/>
              <w:left w:val="double" w:sz="4" w:space="0" w:color="auto"/>
              <w:bottom w:val="nil"/>
              <w:right w:val="double" w:sz="4" w:space="0" w:color="auto"/>
            </w:tcBorders>
            <w:shd w:val="clear" w:color="auto" w:fill="D99594" w:themeFill="accent2" w:themeFillTint="99"/>
            <w:vAlign w:val="center"/>
          </w:tcPr>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CELL FACTORY</w:t>
            </w:r>
          </w:p>
        </w:tc>
        <w:tc>
          <w:tcPr>
            <w:tcW w:w="2942" w:type="dxa"/>
            <w:tcBorders>
              <w:top w:val="double" w:sz="4" w:space="0" w:color="auto"/>
              <w:left w:val="double" w:sz="4" w:space="0" w:color="auto"/>
              <w:bottom w:val="nil"/>
              <w:right w:val="double" w:sz="4" w:space="0" w:color="auto"/>
            </w:tcBorders>
            <w:shd w:val="clear" w:color="auto" w:fill="FFD9FF"/>
          </w:tcPr>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DIAGNOSI e CONSULENZA</w:t>
            </w:r>
          </w:p>
        </w:tc>
      </w:tr>
      <w:tr w:rsidR="00347E30" w:rsidRPr="001A6770" w:rsidTr="00347E30">
        <w:trPr>
          <w:trHeight w:val="1019"/>
          <w:jc w:val="center"/>
        </w:trPr>
        <w:tc>
          <w:tcPr>
            <w:tcW w:w="2537" w:type="dxa"/>
            <w:tcBorders>
              <w:top w:val="nil"/>
              <w:left w:val="double" w:sz="4" w:space="0" w:color="auto"/>
              <w:bottom w:val="nil"/>
              <w:right w:val="double" w:sz="4" w:space="0" w:color="auto"/>
            </w:tcBorders>
            <w:shd w:val="clear" w:color="auto" w:fill="FFFFC5"/>
          </w:tcPr>
          <w:p w:rsidR="00347E30" w:rsidRPr="001A6770" w:rsidRDefault="00347E30" w:rsidP="00D5342B">
            <w:pPr>
              <w:jc w:val="both"/>
              <w:rPr>
                <w:rFonts w:ascii="Garamond" w:hAnsi="Garamond" w:cs="Arial"/>
                <w:sz w:val="20"/>
                <w:szCs w:val="20"/>
              </w:rPr>
            </w:pPr>
            <w:r w:rsidRPr="001A6770">
              <w:rPr>
                <w:rFonts w:ascii="Garamond" w:hAnsi="Garamond" w:cs="Arial"/>
                <w:b/>
                <w:sz w:val="20"/>
                <w:szCs w:val="20"/>
              </w:rPr>
              <w:t>Donazione</w:t>
            </w:r>
            <w:r w:rsidRPr="001A6770">
              <w:rPr>
                <w:rFonts w:ascii="Garamond" w:hAnsi="Garamond" w:cs="Arial"/>
                <w:sz w:val="20"/>
                <w:szCs w:val="20"/>
              </w:rPr>
              <w:t>:</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prelievo tessuti oculari</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relazioni con i coordinamenti locali</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relazioni con i famigliari dei donatori</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selezione donatori</w:t>
            </w:r>
          </w:p>
        </w:tc>
        <w:tc>
          <w:tcPr>
            <w:tcW w:w="1417" w:type="dxa"/>
            <w:vMerge w:val="restart"/>
            <w:tcBorders>
              <w:top w:val="nil"/>
              <w:left w:val="double" w:sz="4" w:space="0" w:color="auto"/>
              <w:right w:val="double" w:sz="4" w:space="0" w:color="auto"/>
            </w:tcBorders>
            <w:shd w:val="clear" w:color="auto" w:fill="E6E6E6"/>
          </w:tcPr>
          <w:p w:rsidR="00347E30" w:rsidRPr="001A6770" w:rsidRDefault="00347E30" w:rsidP="00D5342B">
            <w:pPr>
              <w:jc w:val="both"/>
              <w:rPr>
                <w:rFonts w:ascii="Garamond" w:hAnsi="Garamond" w:cs="Arial"/>
                <w:b/>
                <w:sz w:val="20"/>
                <w:szCs w:val="20"/>
              </w:rPr>
            </w:pPr>
            <w:r w:rsidRPr="001A6770">
              <w:rPr>
                <w:rFonts w:ascii="Garamond" w:hAnsi="Garamond" w:cs="Arial"/>
                <w:sz w:val="20"/>
                <w:szCs w:val="20"/>
              </w:rPr>
              <w:t xml:space="preserve">Complesso org.to di  </w:t>
            </w:r>
            <w:r w:rsidRPr="001A6770">
              <w:rPr>
                <w:rFonts w:ascii="Garamond" w:hAnsi="Garamond" w:cs="Arial"/>
                <w:b/>
                <w:sz w:val="20"/>
                <w:szCs w:val="20"/>
              </w:rPr>
              <w:t xml:space="preserve">campioni biologici umani non idonei al trapianto, conservati e distribuiti </w:t>
            </w:r>
            <w:r w:rsidRPr="001A6770">
              <w:rPr>
                <w:rFonts w:ascii="Garamond" w:hAnsi="Garamond" w:cs="Arial"/>
                <w:sz w:val="20"/>
                <w:szCs w:val="20"/>
              </w:rPr>
              <w:t>con finalità diagnostiche, terapeutiche e di ricerca.</w:t>
            </w:r>
          </w:p>
        </w:tc>
        <w:tc>
          <w:tcPr>
            <w:tcW w:w="1276" w:type="dxa"/>
            <w:vMerge w:val="restart"/>
            <w:tcBorders>
              <w:top w:val="nil"/>
              <w:left w:val="double" w:sz="4" w:space="0" w:color="auto"/>
              <w:right w:val="double" w:sz="4" w:space="0" w:color="auto"/>
            </w:tcBorders>
            <w:shd w:val="clear" w:color="auto" w:fill="CCFFFF"/>
          </w:tcPr>
          <w:p w:rsidR="00347E30" w:rsidRPr="001A6770" w:rsidRDefault="00347E30" w:rsidP="00D5342B">
            <w:pPr>
              <w:jc w:val="both"/>
              <w:rPr>
                <w:rFonts w:ascii="Garamond" w:hAnsi="Garamond" w:cs="Arial"/>
                <w:sz w:val="20"/>
                <w:szCs w:val="20"/>
              </w:rPr>
            </w:pPr>
            <w:r w:rsidRPr="001A6770">
              <w:rPr>
                <w:rFonts w:ascii="Garamond" w:hAnsi="Garamond" w:cs="Arial"/>
                <w:b/>
                <w:sz w:val="20"/>
                <w:szCs w:val="20"/>
              </w:rPr>
              <w:t>Ricerca</w:t>
            </w:r>
            <w:r w:rsidRPr="001A6770">
              <w:rPr>
                <w:rFonts w:ascii="Garamond" w:hAnsi="Garamond" w:cs="Arial"/>
                <w:sz w:val="20"/>
                <w:szCs w:val="20"/>
              </w:rPr>
              <w:t xml:space="preserve"> </w:t>
            </w:r>
            <w:r w:rsidRPr="001A6770">
              <w:rPr>
                <w:rFonts w:ascii="Garamond" w:hAnsi="Garamond" w:cs="Arial"/>
                <w:b/>
                <w:sz w:val="20"/>
                <w:szCs w:val="20"/>
              </w:rPr>
              <w:t xml:space="preserve">pre-clinica </w:t>
            </w:r>
            <w:r w:rsidRPr="001A6770">
              <w:rPr>
                <w:rFonts w:ascii="Garamond" w:hAnsi="Garamond" w:cs="Arial"/>
                <w:sz w:val="20"/>
                <w:szCs w:val="20"/>
              </w:rPr>
              <w:t>sulle malattie oculari</w:t>
            </w:r>
          </w:p>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Ricerca clinica</w:t>
            </w:r>
          </w:p>
          <w:p w:rsidR="00347E30" w:rsidRPr="001A6770" w:rsidRDefault="00347E30" w:rsidP="00D5342B">
            <w:pPr>
              <w:jc w:val="both"/>
              <w:rPr>
                <w:rFonts w:ascii="Garamond" w:hAnsi="Garamond" w:cs="Arial"/>
                <w:sz w:val="20"/>
                <w:szCs w:val="20"/>
              </w:rPr>
            </w:pPr>
          </w:p>
        </w:tc>
        <w:tc>
          <w:tcPr>
            <w:tcW w:w="1452" w:type="dxa"/>
            <w:vMerge w:val="restart"/>
            <w:tcBorders>
              <w:top w:val="nil"/>
              <w:left w:val="double" w:sz="4" w:space="0" w:color="auto"/>
              <w:right w:val="double" w:sz="4" w:space="0" w:color="auto"/>
            </w:tcBorders>
            <w:shd w:val="clear" w:color="auto" w:fill="D99594" w:themeFill="accent2" w:themeFillTint="99"/>
          </w:tcPr>
          <w:p w:rsidR="00347E30" w:rsidRPr="001A6770" w:rsidRDefault="00347E30" w:rsidP="00D5342B">
            <w:pPr>
              <w:jc w:val="both"/>
              <w:rPr>
                <w:rFonts w:ascii="Garamond" w:hAnsi="Garamond" w:cs="Arial"/>
                <w:b/>
                <w:sz w:val="20"/>
                <w:szCs w:val="20"/>
              </w:rPr>
            </w:pPr>
            <w:r w:rsidRPr="001A6770">
              <w:rPr>
                <w:rFonts w:ascii="Garamond" w:hAnsi="Garamond" w:cs="Arial"/>
                <w:b/>
                <w:sz w:val="20"/>
                <w:szCs w:val="20"/>
              </w:rPr>
              <w:t>Processo di terapia cellulare:</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produzione di cellule staminali dell’occhio di tipo adulto per uso clinico, secondo gli standard di qualità dell’</w:t>
            </w:r>
            <w:proofErr w:type="spellStart"/>
            <w:r w:rsidRPr="001A6770">
              <w:rPr>
                <w:rFonts w:ascii="Garamond" w:hAnsi="Garamond" w:cs="Arial"/>
                <w:sz w:val="20"/>
                <w:szCs w:val="20"/>
              </w:rPr>
              <w:t>ind</w:t>
            </w:r>
            <w:proofErr w:type="spellEnd"/>
            <w:r w:rsidRPr="001A6770">
              <w:rPr>
                <w:rFonts w:ascii="Garamond" w:hAnsi="Garamond" w:cs="Arial"/>
                <w:sz w:val="20"/>
                <w:szCs w:val="20"/>
              </w:rPr>
              <w:t xml:space="preserve">. farmaceutica, </w:t>
            </w:r>
            <w:proofErr w:type="spellStart"/>
            <w:r w:rsidRPr="001A6770">
              <w:rPr>
                <w:rFonts w:ascii="Garamond" w:hAnsi="Garamond" w:cs="Arial"/>
                <w:i/>
                <w:sz w:val="20"/>
                <w:szCs w:val="20"/>
              </w:rPr>
              <w:t>Good</w:t>
            </w:r>
            <w:proofErr w:type="spellEnd"/>
            <w:r w:rsidRPr="001A6770">
              <w:rPr>
                <w:rFonts w:ascii="Garamond" w:hAnsi="Garamond" w:cs="Arial"/>
                <w:i/>
                <w:sz w:val="20"/>
                <w:szCs w:val="20"/>
              </w:rPr>
              <w:t xml:space="preserve"> Manufacturing Practices</w:t>
            </w:r>
          </w:p>
        </w:tc>
        <w:tc>
          <w:tcPr>
            <w:tcW w:w="2942" w:type="dxa"/>
            <w:vMerge w:val="restart"/>
            <w:tcBorders>
              <w:top w:val="nil"/>
              <w:left w:val="double" w:sz="4" w:space="0" w:color="auto"/>
              <w:right w:val="double" w:sz="4" w:space="0" w:color="auto"/>
            </w:tcBorders>
            <w:shd w:val="clear" w:color="auto" w:fill="FFD9FF"/>
          </w:tcPr>
          <w:p w:rsidR="00347E30" w:rsidRPr="001A6770" w:rsidRDefault="00347E30" w:rsidP="00D5342B">
            <w:pPr>
              <w:jc w:val="both"/>
              <w:rPr>
                <w:rFonts w:ascii="Garamond" w:hAnsi="Garamond" w:cs="Arial"/>
                <w:sz w:val="20"/>
                <w:szCs w:val="20"/>
              </w:rPr>
            </w:pPr>
            <w:r w:rsidRPr="001A6770">
              <w:rPr>
                <w:rFonts w:ascii="Garamond" w:hAnsi="Garamond" w:cs="Arial"/>
                <w:b/>
                <w:sz w:val="20"/>
                <w:szCs w:val="20"/>
              </w:rPr>
              <w:t>Valutazione specialistica in materia di patologia oculare</w:t>
            </w:r>
            <w:r w:rsidRPr="001A6770">
              <w:rPr>
                <w:rFonts w:ascii="Garamond" w:hAnsi="Garamond" w:cs="Arial"/>
                <w:sz w:val="20"/>
                <w:szCs w:val="20"/>
              </w:rPr>
              <w:t>:</w:t>
            </w:r>
            <w:r w:rsidRPr="001A6770">
              <w:rPr>
                <w:rFonts w:ascii="Garamond" w:hAnsi="Garamond" w:cs="Arial"/>
                <w:b/>
                <w:sz w:val="20"/>
                <w:szCs w:val="20"/>
              </w:rPr>
              <w:t xml:space="preserve"> </w:t>
            </w:r>
            <w:r w:rsidRPr="001A6770">
              <w:rPr>
                <w:rFonts w:ascii="Garamond" w:hAnsi="Garamond" w:cs="Arial"/>
                <w:sz w:val="20"/>
                <w:szCs w:val="20"/>
              </w:rPr>
              <w:t>valutazioni citologiche, istologiche, microbiologiche, genetiche su tessuti umani</w:t>
            </w:r>
          </w:p>
          <w:p w:rsidR="00347E30" w:rsidRPr="001A6770" w:rsidRDefault="00347E30" w:rsidP="00D5342B">
            <w:pPr>
              <w:jc w:val="both"/>
              <w:rPr>
                <w:rFonts w:ascii="Garamond" w:hAnsi="Garamond" w:cs="Arial"/>
                <w:sz w:val="20"/>
                <w:szCs w:val="20"/>
              </w:rPr>
            </w:pPr>
            <w:r w:rsidRPr="001A6770">
              <w:rPr>
                <w:rFonts w:ascii="Garamond" w:hAnsi="Garamond" w:cs="Arial"/>
                <w:b/>
                <w:sz w:val="20"/>
                <w:szCs w:val="20"/>
              </w:rPr>
              <w:t>Diagnosi e consulenza</w:t>
            </w:r>
            <w:r w:rsidRPr="001A6770">
              <w:rPr>
                <w:rFonts w:ascii="Garamond" w:hAnsi="Garamond" w:cs="Arial"/>
                <w:sz w:val="20"/>
                <w:szCs w:val="20"/>
              </w:rPr>
              <w:t xml:space="preserve"> a pazienti affetti da gravi patologie oculari anche in convenzione con il SSN:</w:t>
            </w:r>
          </w:p>
          <w:p w:rsidR="00347E30" w:rsidRPr="00BB3DF6" w:rsidRDefault="003C68D2" w:rsidP="003C68D2">
            <w:pPr>
              <w:pStyle w:val="Paragrafoelenco"/>
              <w:numPr>
                <w:ilvl w:val="0"/>
                <w:numId w:val="27"/>
              </w:numPr>
              <w:jc w:val="both"/>
              <w:rPr>
                <w:rFonts w:ascii="Garamond" w:hAnsi="Garamond" w:cs="Arial"/>
                <w:sz w:val="20"/>
                <w:szCs w:val="20"/>
              </w:rPr>
            </w:pPr>
            <w:r w:rsidRPr="00BB3DF6">
              <w:rPr>
                <w:rFonts w:ascii="Garamond" w:hAnsi="Garamond" w:cs="Arial"/>
                <w:sz w:val="20"/>
                <w:szCs w:val="20"/>
              </w:rPr>
              <w:t>A</w:t>
            </w:r>
            <w:r w:rsidR="00347E30" w:rsidRPr="00BB3DF6">
              <w:rPr>
                <w:rFonts w:ascii="Garamond" w:hAnsi="Garamond" w:cs="Arial"/>
                <w:sz w:val="20"/>
                <w:szCs w:val="20"/>
              </w:rPr>
              <w:t>ccoglienza</w:t>
            </w:r>
            <w:r>
              <w:rPr>
                <w:rFonts w:ascii="Garamond" w:hAnsi="Garamond" w:cs="Arial"/>
                <w:sz w:val="20"/>
                <w:szCs w:val="20"/>
              </w:rPr>
              <w:t xml:space="preserve"> </w:t>
            </w:r>
            <w:r w:rsidR="00347E30" w:rsidRPr="00BB3DF6">
              <w:rPr>
                <w:rFonts w:ascii="Garamond" w:hAnsi="Garamond" w:cs="Arial"/>
                <w:sz w:val="20"/>
                <w:szCs w:val="20"/>
              </w:rPr>
              <w:t>(primo Incontro)</w:t>
            </w:r>
          </w:p>
          <w:p w:rsidR="00347E30" w:rsidRPr="00BB3DF6" w:rsidRDefault="00347E30" w:rsidP="003C68D2">
            <w:pPr>
              <w:pStyle w:val="Paragrafoelenco"/>
              <w:numPr>
                <w:ilvl w:val="0"/>
                <w:numId w:val="27"/>
              </w:numPr>
              <w:jc w:val="both"/>
              <w:rPr>
                <w:rFonts w:ascii="Garamond" w:hAnsi="Garamond" w:cs="Arial"/>
                <w:sz w:val="20"/>
                <w:szCs w:val="20"/>
              </w:rPr>
            </w:pPr>
            <w:r w:rsidRPr="00BB3DF6">
              <w:rPr>
                <w:rFonts w:ascii="Garamond" w:hAnsi="Garamond" w:cs="Arial"/>
                <w:sz w:val="20"/>
                <w:szCs w:val="20"/>
              </w:rPr>
              <w:t>clinica (visita specialistica)</w:t>
            </w:r>
          </w:p>
          <w:p w:rsidR="00347E30" w:rsidRPr="00BB3DF6" w:rsidRDefault="00347E30" w:rsidP="003C68D2">
            <w:pPr>
              <w:pStyle w:val="Paragrafoelenco"/>
              <w:numPr>
                <w:ilvl w:val="0"/>
                <w:numId w:val="27"/>
              </w:numPr>
              <w:jc w:val="both"/>
              <w:rPr>
                <w:rFonts w:ascii="Garamond" w:hAnsi="Garamond" w:cs="Arial"/>
                <w:sz w:val="20"/>
                <w:szCs w:val="20"/>
              </w:rPr>
            </w:pPr>
            <w:r w:rsidRPr="00BB3DF6">
              <w:rPr>
                <w:rFonts w:ascii="Garamond" w:hAnsi="Garamond" w:cs="Arial"/>
                <w:sz w:val="20"/>
                <w:szCs w:val="20"/>
              </w:rPr>
              <w:t>assistenza (monitoraggio nel tempo dello stato di salute)</w:t>
            </w:r>
          </w:p>
        </w:tc>
      </w:tr>
      <w:tr w:rsidR="00347E30" w:rsidRPr="001A6770" w:rsidTr="00347E30">
        <w:trPr>
          <w:trHeight w:val="1108"/>
          <w:jc w:val="center"/>
        </w:trPr>
        <w:tc>
          <w:tcPr>
            <w:tcW w:w="2537" w:type="dxa"/>
            <w:tcBorders>
              <w:top w:val="nil"/>
              <w:left w:val="double" w:sz="4" w:space="0" w:color="auto"/>
              <w:bottom w:val="double" w:sz="4" w:space="0" w:color="auto"/>
              <w:right w:val="double" w:sz="4" w:space="0" w:color="auto"/>
            </w:tcBorders>
            <w:shd w:val="clear" w:color="auto" w:fill="FFFFC5"/>
          </w:tcPr>
          <w:p w:rsidR="00347E30" w:rsidRPr="001A6770" w:rsidRDefault="00347E30" w:rsidP="00D5342B">
            <w:pPr>
              <w:jc w:val="both"/>
              <w:rPr>
                <w:rFonts w:ascii="Garamond" w:hAnsi="Garamond" w:cs="Arial"/>
                <w:sz w:val="20"/>
                <w:szCs w:val="20"/>
              </w:rPr>
            </w:pPr>
            <w:r w:rsidRPr="001A6770">
              <w:rPr>
                <w:rFonts w:ascii="Garamond" w:hAnsi="Garamond" w:cs="Arial"/>
                <w:b/>
                <w:sz w:val="20"/>
                <w:szCs w:val="20"/>
              </w:rPr>
              <w:t>Trapianto</w:t>
            </w:r>
            <w:r w:rsidRPr="001A6770">
              <w:rPr>
                <w:rFonts w:ascii="Garamond" w:hAnsi="Garamond" w:cs="Arial"/>
                <w:sz w:val="20"/>
                <w:szCs w:val="20"/>
              </w:rPr>
              <w:t>:</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selezione tessuti oculari</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conservazione</w:t>
            </w:r>
          </w:p>
          <w:p w:rsidR="00347E30" w:rsidRPr="001A6770" w:rsidRDefault="00347E30" w:rsidP="00D5342B">
            <w:pPr>
              <w:jc w:val="both"/>
              <w:rPr>
                <w:rFonts w:ascii="Garamond" w:hAnsi="Garamond" w:cs="Arial"/>
                <w:sz w:val="20"/>
                <w:szCs w:val="20"/>
              </w:rPr>
            </w:pPr>
            <w:r w:rsidRPr="001A6770">
              <w:rPr>
                <w:rFonts w:ascii="Garamond" w:hAnsi="Garamond" w:cs="Arial"/>
                <w:sz w:val="20"/>
                <w:szCs w:val="20"/>
              </w:rPr>
              <w:t>distribuzione tessuti oculari per trapianto</w:t>
            </w:r>
          </w:p>
          <w:p w:rsidR="00347E30" w:rsidRPr="001A6770" w:rsidRDefault="00347E30" w:rsidP="00D5342B">
            <w:pPr>
              <w:jc w:val="both"/>
              <w:rPr>
                <w:rFonts w:ascii="Garamond" w:hAnsi="Garamond" w:cs="Arial"/>
                <w:sz w:val="20"/>
                <w:szCs w:val="20"/>
              </w:rPr>
            </w:pPr>
            <w:r w:rsidRPr="001A6770">
              <w:rPr>
                <w:rFonts w:ascii="Garamond" w:hAnsi="Garamond" w:cs="Arial"/>
                <w:i/>
                <w:sz w:val="20"/>
                <w:szCs w:val="20"/>
              </w:rPr>
              <w:t>follow up</w:t>
            </w:r>
          </w:p>
        </w:tc>
        <w:tc>
          <w:tcPr>
            <w:tcW w:w="1417" w:type="dxa"/>
            <w:vMerge/>
            <w:tcBorders>
              <w:left w:val="double" w:sz="4" w:space="0" w:color="auto"/>
              <w:bottom w:val="double" w:sz="4" w:space="0" w:color="auto"/>
              <w:right w:val="double" w:sz="4" w:space="0" w:color="auto"/>
            </w:tcBorders>
            <w:shd w:val="clear" w:color="auto" w:fill="E6E6E6"/>
          </w:tcPr>
          <w:p w:rsidR="00347E30" w:rsidRPr="001A6770" w:rsidRDefault="00347E30" w:rsidP="00D5342B">
            <w:pPr>
              <w:jc w:val="both"/>
              <w:rPr>
                <w:rFonts w:ascii="Garamond" w:hAnsi="Garamond" w:cs="Arial"/>
                <w:b/>
                <w:sz w:val="20"/>
                <w:szCs w:val="20"/>
              </w:rPr>
            </w:pPr>
          </w:p>
        </w:tc>
        <w:tc>
          <w:tcPr>
            <w:tcW w:w="1276" w:type="dxa"/>
            <w:vMerge/>
            <w:tcBorders>
              <w:left w:val="double" w:sz="4" w:space="0" w:color="auto"/>
              <w:bottom w:val="double" w:sz="4" w:space="0" w:color="auto"/>
              <w:right w:val="double" w:sz="4" w:space="0" w:color="auto"/>
            </w:tcBorders>
            <w:shd w:val="clear" w:color="auto" w:fill="CCFFFF"/>
          </w:tcPr>
          <w:p w:rsidR="00347E30" w:rsidRPr="001A6770" w:rsidRDefault="00347E30" w:rsidP="00D5342B">
            <w:pPr>
              <w:jc w:val="both"/>
              <w:rPr>
                <w:rFonts w:ascii="Garamond" w:hAnsi="Garamond" w:cs="Arial"/>
                <w:b/>
                <w:sz w:val="20"/>
                <w:szCs w:val="20"/>
              </w:rPr>
            </w:pPr>
          </w:p>
        </w:tc>
        <w:tc>
          <w:tcPr>
            <w:tcW w:w="1452" w:type="dxa"/>
            <w:vMerge/>
            <w:tcBorders>
              <w:left w:val="double" w:sz="4" w:space="0" w:color="auto"/>
              <w:bottom w:val="double" w:sz="4" w:space="0" w:color="auto"/>
              <w:right w:val="double" w:sz="4" w:space="0" w:color="auto"/>
            </w:tcBorders>
            <w:shd w:val="clear" w:color="auto" w:fill="D99594" w:themeFill="accent2" w:themeFillTint="99"/>
          </w:tcPr>
          <w:p w:rsidR="00347E30" w:rsidRPr="001A6770" w:rsidRDefault="00347E30" w:rsidP="00D5342B">
            <w:pPr>
              <w:jc w:val="both"/>
              <w:rPr>
                <w:rFonts w:ascii="Garamond" w:hAnsi="Garamond" w:cs="Arial"/>
                <w:b/>
                <w:sz w:val="20"/>
                <w:szCs w:val="20"/>
              </w:rPr>
            </w:pPr>
          </w:p>
        </w:tc>
        <w:tc>
          <w:tcPr>
            <w:tcW w:w="2942" w:type="dxa"/>
            <w:vMerge/>
            <w:tcBorders>
              <w:left w:val="double" w:sz="4" w:space="0" w:color="auto"/>
              <w:bottom w:val="double" w:sz="4" w:space="0" w:color="auto"/>
              <w:right w:val="double" w:sz="4" w:space="0" w:color="auto"/>
            </w:tcBorders>
            <w:shd w:val="clear" w:color="auto" w:fill="FFD9FF"/>
          </w:tcPr>
          <w:p w:rsidR="00347E30" w:rsidRPr="001A6770" w:rsidRDefault="00347E30" w:rsidP="00D5342B">
            <w:pPr>
              <w:jc w:val="both"/>
              <w:rPr>
                <w:rFonts w:ascii="Garamond" w:hAnsi="Garamond" w:cs="Arial"/>
                <w:sz w:val="20"/>
                <w:szCs w:val="20"/>
              </w:rPr>
            </w:pPr>
          </w:p>
        </w:tc>
      </w:tr>
      <w:tr w:rsidR="00347E30" w:rsidRPr="001A6770" w:rsidTr="00D5342B">
        <w:trPr>
          <w:trHeight w:val="341"/>
          <w:jc w:val="center"/>
        </w:trPr>
        <w:tc>
          <w:tcPr>
            <w:tcW w:w="9624" w:type="dxa"/>
            <w:gridSpan w:val="5"/>
            <w:tcBorders>
              <w:top w:val="double" w:sz="4" w:space="0" w:color="auto"/>
              <w:left w:val="double" w:sz="4" w:space="0" w:color="auto"/>
              <w:bottom w:val="double" w:sz="4" w:space="0" w:color="auto"/>
              <w:right w:val="double" w:sz="4" w:space="0" w:color="auto"/>
            </w:tcBorders>
            <w:shd w:val="clear" w:color="auto" w:fill="E7FFA3"/>
          </w:tcPr>
          <w:p w:rsidR="00347E30" w:rsidRPr="001A6770" w:rsidRDefault="00347E30" w:rsidP="00BB3A30">
            <w:pPr>
              <w:jc w:val="center"/>
              <w:rPr>
                <w:rFonts w:ascii="Garamond" w:hAnsi="Garamond" w:cs="Arial"/>
                <w:b/>
                <w:sz w:val="20"/>
                <w:szCs w:val="20"/>
              </w:rPr>
            </w:pPr>
            <w:r w:rsidRPr="001A6770">
              <w:rPr>
                <w:rFonts w:ascii="Garamond" w:hAnsi="Garamond" w:cs="Arial"/>
                <w:b/>
                <w:sz w:val="20"/>
                <w:szCs w:val="20"/>
              </w:rPr>
              <w:t>RISORSE TECNICHE</w:t>
            </w:r>
          </w:p>
        </w:tc>
      </w:tr>
      <w:tr w:rsidR="00347E30" w:rsidRPr="001A6770" w:rsidTr="00D5342B">
        <w:trPr>
          <w:trHeight w:val="341"/>
          <w:jc w:val="center"/>
        </w:trPr>
        <w:tc>
          <w:tcPr>
            <w:tcW w:w="9624" w:type="dxa"/>
            <w:gridSpan w:val="5"/>
            <w:tcBorders>
              <w:top w:val="double" w:sz="4" w:space="0" w:color="auto"/>
              <w:left w:val="double" w:sz="4" w:space="0" w:color="auto"/>
              <w:bottom w:val="double" w:sz="4" w:space="0" w:color="auto"/>
              <w:right w:val="double" w:sz="4" w:space="0" w:color="auto"/>
            </w:tcBorders>
            <w:shd w:val="clear" w:color="auto" w:fill="E7FFA3"/>
          </w:tcPr>
          <w:p w:rsidR="00347E30" w:rsidRPr="001A6770" w:rsidRDefault="00347E30" w:rsidP="00BB3A30">
            <w:pPr>
              <w:jc w:val="center"/>
              <w:rPr>
                <w:rFonts w:ascii="Garamond" w:hAnsi="Garamond" w:cs="Arial"/>
                <w:b/>
                <w:sz w:val="20"/>
                <w:szCs w:val="20"/>
              </w:rPr>
            </w:pPr>
            <w:r w:rsidRPr="001A6770">
              <w:rPr>
                <w:rFonts w:ascii="Garamond" w:hAnsi="Garamond" w:cs="Arial"/>
                <w:b/>
                <w:sz w:val="20"/>
                <w:szCs w:val="20"/>
              </w:rPr>
              <w:t>AMMINISTRAZIONE</w:t>
            </w:r>
          </w:p>
        </w:tc>
      </w:tr>
      <w:tr w:rsidR="00347E30" w:rsidRPr="001A6770" w:rsidTr="00D5342B">
        <w:trPr>
          <w:trHeight w:val="50"/>
          <w:jc w:val="center"/>
        </w:trPr>
        <w:tc>
          <w:tcPr>
            <w:tcW w:w="9624" w:type="dxa"/>
            <w:gridSpan w:val="5"/>
            <w:tcBorders>
              <w:top w:val="double" w:sz="4" w:space="0" w:color="auto"/>
              <w:left w:val="double" w:sz="4" w:space="0" w:color="auto"/>
              <w:bottom w:val="double" w:sz="4" w:space="0" w:color="auto"/>
              <w:right w:val="double" w:sz="4" w:space="0" w:color="auto"/>
            </w:tcBorders>
            <w:shd w:val="clear" w:color="auto" w:fill="E7FFA3"/>
          </w:tcPr>
          <w:p w:rsidR="00347E30" w:rsidRPr="001A6770" w:rsidRDefault="00347E30" w:rsidP="00BB3A30">
            <w:pPr>
              <w:jc w:val="center"/>
              <w:rPr>
                <w:rFonts w:ascii="Garamond" w:hAnsi="Garamond" w:cs="Arial"/>
                <w:b/>
                <w:sz w:val="20"/>
                <w:szCs w:val="20"/>
              </w:rPr>
            </w:pPr>
            <w:r w:rsidRPr="001A6770">
              <w:rPr>
                <w:rFonts w:ascii="Garamond" w:hAnsi="Garamond" w:cs="Arial"/>
                <w:b/>
                <w:sz w:val="20"/>
                <w:szCs w:val="20"/>
              </w:rPr>
              <w:t>COMUNICAZIONE E RELAZIONI ESTERNE</w:t>
            </w:r>
          </w:p>
        </w:tc>
      </w:tr>
    </w:tbl>
    <w:p w:rsidR="00347E30" w:rsidRPr="001A6770" w:rsidRDefault="00347E30" w:rsidP="00D5342B">
      <w:pPr>
        <w:jc w:val="both"/>
        <w:rPr>
          <w:rFonts w:ascii="Garamond" w:hAnsi="Garamond"/>
          <w:sz w:val="28"/>
          <w:szCs w:val="28"/>
        </w:rPr>
      </w:pPr>
    </w:p>
    <w:p w:rsidR="00A67EDD" w:rsidRPr="001214C3" w:rsidRDefault="00A67EDD" w:rsidP="00D5342B">
      <w:pPr>
        <w:jc w:val="both"/>
        <w:rPr>
          <w:rFonts w:ascii="Garamond" w:hAnsi="Garamond" w:cs="Garamond"/>
          <w:sz w:val="28"/>
          <w:szCs w:val="28"/>
        </w:rPr>
      </w:pPr>
      <w:r w:rsidRPr="001214C3">
        <w:rPr>
          <w:rFonts w:ascii="Garamond" w:hAnsi="Garamond" w:cs="Garamond"/>
          <w:sz w:val="28"/>
          <w:szCs w:val="28"/>
        </w:rPr>
        <w:t>Considerando che una funzione aziendale è costituita da una serie di attività che hanno la medesima natura, il medesimo oggetto operativo e sono finalizzate alla realizzazione degli obiettivi d’impresa, se è organizzata in risposta ad un bisogno esterno, viene tipicamente definita funzione primaria. Nelle aziende sono identificabili, di norma, anche funzioni di supporto che impattano su tutte le attività e sono essenziali per l’erogazione di servizi/prodotti e il raggiungimento degli obiettivi.</w:t>
      </w:r>
    </w:p>
    <w:p w:rsidR="00A67EDD" w:rsidRPr="001214C3" w:rsidRDefault="00A67EDD" w:rsidP="00D5342B">
      <w:pPr>
        <w:jc w:val="both"/>
        <w:rPr>
          <w:rFonts w:ascii="Garamond" w:hAnsi="Garamond" w:cs="Garamond"/>
          <w:sz w:val="28"/>
          <w:szCs w:val="28"/>
        </w:rPr>
      </w:pPr>
      <w:r w:rsidRPr="001214C3">
        <w:rPr>
          <w:rFonts w:ascii="Garamond" w:hAnsi="Garamond" w:cs="Garamond"/>
          <w:sz w:val="28"/>
          <w:szCs w:val="28"/>
        </w:rPr>
        <w:t xml:space="preserve">Un processo è, invece, un insieme di attività correlate e sequenziali, descritte da procedure operative, ed è caratterizzato da un input e un output. </w:t>
      </w:r>
    </w:p>
    <w:p w:rsidR="00A67EDD" w:rsidRPr="001214C3" w:rsidRDefault="00A67EDD" w:rsidP="00D5342B">
      <w:pPr>
        <w:jc w:val="both"/>
        <w:rPr>
          <w:rFonts w:ascii="Garamond" w:hAnsi="Garamond" w:cs="Garamond"/>
          <w:sz w:val="28"/>
          <w:szCs w:val="28"/>
        </w:rPr>
      </w:pPr>
      <w:r w:rsidRPr="001214C3">
        <w:rPr>
          <w:rFonts w:ascii="Garamond" w:hAnsi="Garamond" w:cs="Garamond"/>
          <w:sz w:val="28"/>
          <w:szCs w:val="28"/>
        </w:rPr>
        <w:t xml:space="preserve">Anche l’organizzazione di </w:t>
      </w:r>
      <w:r w:rsidR="00157DBE">
        <w:rPr>
          <w:rFonts w:ascii="Garamond" w:hAnsi="Garamond" w:cs="Garamond"/>
          <w:sz w:val="28"/>
          <w:szCs w:val="28"/>
        </w:rPr>
        <w:t>Fondazione</w:t>
      </w:r>
      <w:r w:rsidRPr="001214C3">
        <w:rPr>
          <w:rFonts w:ascii="Garamond" w:hAnsi="Garamond" w:cs="Garamond"/>
          <w:sz w:val="28"/>
          <w:szCs w:val="28"/>
        </w:rPr>
        <w:t xml:space="preserve">, pur presentando qualche peculiarità, può essere descritta secondo queste categorie. A capo delle funzioni primarie e di supporto vi è un Responsabile di Area, mentre il coordinamento del processo è affidato ad un </w:t>
      </w:r>
      <w:proofErr w:type="spellStart"/>
      <w:r w:rsidRPr="001214C3">
        <w:rPr>
          <w:rFonts w:ascii="Garamond" w:hAnsi="Garamond" w:cs="Garamond"/>
          <w:sz w:val="28"/>
          <w:szCs w:val="28"/>
        </w:rPr>
        <w:t>Process</w:t>
      </w:r>
      <w:proofErr w:type="spellEnd"/>
      <w:r w:rsidRPr="001214C3">
        <w:rPr>
          <w:rFonts w:ascii="Garamond" w:hAnsi="Garamond" w:cs="Garamond"/>
          <w:sz w:val="28"/>
          <w:szCs w:val="28"/>
        </w:rPr>
        <w:t xml:space="preserve"> </w:t>
      </w:r>
      <w:proofErr w:type="spellStart"/>
      <w:r w:rsidRPr="001214C3">
        <w:rPr>
          <w:rFonts w:ascii="Garamond" w:hAnsi="Garamond" w:cs="Garamond"/>
          <w:sz w:val="28"/>
          <w:szCs w:val="28"/>
        </w:rPr>
        <w:t>Owner</w:t>
      </w:r>
      <w:proofErr w:type="spellEnd"/>
      <w:r w:rsidRPr="001214C3">
        <w:rPr>
          <w:rFonts w:ascii="Garamond" w:hAnsi="Garamond" w:cs="Garamond"/>
          <w:sz w:val="28"/>
          <w:szCs w:val="28"/>
        </w:rPr>
        <w:t xml:space="preserve">. Ai Responsabili e </w:t>
      </w:r>
      <w:proofErr w:type="spellStart"/>
      <w:r w:rsidRPr="001214C3">
        <w:rPr>
          <w:rFonts w:ascii="Garamond" w:hAnsi="Garamond" w:cs="Garamond"/>
          <w:sz w:val="28"/>
          <w:szCs w:val="28"/>
        </w:rPr>
        <w:t>Process</w:t>
      </w:r>
      <w:proofErr w:type="spellEnd"/>
      <w:r w:rsidRPr="001214C3">
        <w:rPr>
          <w:rFonts w:ascii="Garamond" w:hAnsi="Garamond" w:cs="Garamond"/>
          <w:sz w:val="28"/>
          <w:szCs w:val="28"/>
        </w:rPr>
        <w:t xml:space="preserve"> </w:t>
      </w:r>
      <w:proofErr w:type="spellStart"/>
      <w:r w:rsidRPr="001214C3">
        <w:rPr>
          <w:rFonts w:ascii="Garamond" w:hAnsi="Garamond" w:cs="Garamond"/>
          <w:sz w:val="28"/>
          <w:szCs w:val="28"/>
        </w:rPr>
        <w:t>Owner</w:t>
      </w:r>
      <w:proofErr w:type="spellEnd"/>
      <w:r w:rsidRPr="001214C3">
        <w:rPr>
          <w:rFonts w:ascii="Garamond" w:hAnsi="Garamond" w:cs="Garamond"/>
          <w:sz w:val="28"/>
          <w:szCs w:val="28"/>
        </w:rPr>
        <w:t>, compete anche la gestione dei propri collaboratori, in affiancamento con la Direzione.</w:t>
      </w:r>
    </w:p>
    <w:p w:rsidR="00D7334A" w:rsidRPr="00D42D2F" w:rsidRDefault="00D7334A" w:rsidP="00612AE8">
      <w:pPr>
        <w:pStyle w:val="Titolo1"/>
        <w:numPr>
          <w:ilvl w:val="0"/>
          <w:numId w:val="28"/>
        </w:numPr>
        <w:rPr>
          <w:rFonts w:ascii="Garamond" w:hAnsi="Garamond"/>
          <w:b/>
          <w:sz w:val="28"/>
          <w:szCs w:val="28"/>
        </w:rPr>
      </w:pPr>
      <w:bookmarkStart w:id="7" w:name="_Toc43459025"/>
      <w:r w:rsidRPr="00D42D2F">
        <w:rPr>
          <w:rFonts w:ascii="Garamond" w:hAnsi="Garamond"/>
          <w:b/>
          <w:sz w:val="28"/>
          <w:szCs w:val="28"/>
        </w:rPr>
        <w:t xml:space="preserve">Il responsabile della </w:t>
      </w:r>
      <w:r w:rsidR="00EF0C93" w:rsidRPr="00D42D2F">
        <w:rPr>
          <w:rFonts w:ascii="Garamond" w:hAnsi="Garamond"/>
          <w:b/>
          <w:sz w:val="28"/>
          <w:szCs w:val="28"/>
        </w:rPr>
        <w:t>Trasparenza</w:t>
      </w:r>
      <w:bookmarkEnd w:id="7"/>
    </w:p>
    <w:p w:rsidR="00D7334A" w:rsidRPr="00D42D2F" w:rsidRDefault="00D7334A" w:rsidP="00D5342B">
      <w:pPr>
        <w:jc w:val="both"/>
        <w:rPr>
          <w:rFonts w:ascii="Garamond" w:hAnsi="Garamond"/>
          <w:sz w:val="28"/>
          <w:szCs w:val="28"/>
        </w:rPr>
      </w:pPr>
      <w:r w:rsidRPr="00D42D2F">
        <w:rPr>
          <w:rFonts w:ascii="Garamond" w:hAnsi="Garamond"/>
          <w:sz w:val="28"/>
          <w:szCs w:val="28"/>
        </w:rPr>
        <w:t xml:space="preserve">Il Responsabile </w:t>
      </w:r>
      <w:r w:rsidR="00EF0C93" w:rsidRPr="00D42D2F">
        <w:rPr>
          <w:rFonts w:ascii="Garamond" w:hAnsi="Garamond"/>
          <w:sz w:val="28"/>
          <w:szCs w:val="28"/>
        </w:rPr>
        <w:t>della Trasparenza</w:t>
      </w:r>
      <w:r w:rsidR="00767A63" w:rsidRPr="00D42D2F">
        <w:rPr>
          <w:rFonts w:ascii="Garamond" w:hAnsi="Garamond"/>
          <w:sz w:val="28"/>
          <w:szCs w:val="28"/>
        </w:rPr>
        <w:t xml:space="preserve"> </w:t>
      </w:r>
      <w:r w:rsidRPr="00D42D2F">
        <w:rPr>
          <w:rFonts w:ascii="Garamond" w:hAnsi="Garamond"/>
          <w:sz w:val="28"/>
          <w:szCs w:val="28"/>
        </w:rPr>
        <w:t>viene nominato dal Consiglio di Amministraz</w:t>
      </w:r>
      <w:r w:rsidR="006F5FAD" w:rsidRPr="00D42D2F">
        <w:rPr>
          <w:rFonts w:ascii="Garamond" w:hAnsi="Garamond"/>
          <w:sz w:val="28"/>
          <w:szCs w:val="28"/>
        </w:rPr>
        <w:t>ione: i</w:t>
      </w:r>
      <w:r w:rsidRPr="00D42D2F">
        <w:rPr>
          <w:rFonts w:ascii="Garamond" w:hAnsi="Garamond"/>
          <w:sz w:val="28"/>
          <w:szCs w:val="28"/>
        </w:rPr>
        <w:t xml:space="preserve">l nominativo è pubblicato sul sito aziendale alla sezione “Amministrazione Trasparente”. </w:t>
      </w:r>
    </w:p>
    <w:p w:rsidR="00BF401D" w:rsidRPr="00E02DAF" w:rsidRDefault="00EF0C93" w:rsidP="00BF401D">
      <w:pPr>
        <w:jc w:val="both"/>
        <w:rPr>
          <w:rFonts w:ascii="Garamond" w:hAnsi="Garamond"/>
          <w:sz w:val="28"/>
          <w:szCs w:val="28"/>
        </w:rPr>
      </w:pPr>
      <w:r w:rsidRPr="00D42D2F">
        <w:rPr>
          <w:rFonts w:ascii="Garamond" w:hAnsi="Garamond"/>
          <w:sz w:val="28"/>
          <w:szCs w:val="28"/>
        </w:rPr>
        <w:t>R</w:t>
      </w:r>
      <w:r w:rsidR="00D7334A" w:rsidRPr="00D42D2F">
        <w:rPr>
          <w:rFonts w:ascii="Garamond" w:hAnsi="Garamond"/>
          <w:sz w:val="28"/>
          <w:szCs w:val="28"/>
        </w:rPr>
        <w:t xml:space="preserve">edige </w:t>
      </w:r>
      <w:r w:rsidR="00BD5CC2" w:rsidRPr="00D42D2F">
        <w:rPr>
          <w:rFonts w:ascii="Garamond" w:hAnsi="Garamond"/>
          <w:sz w:val="28"/>
          <w:szCs w:val="28"/>
        </w:rPr>
        <w:t xml:space="preserve">il piano della Trasparenza e </w:t>
      </w:r>
      <w:r w:rsidR="00D7334A" w:rsidRPr="00D42D2F">
        <w:rPr>
          <w:rFonts w:ascii="Garamond" w:hAnsi="Garamond"/>
          <w:sz w:val="28"/>
          <w:szCs w:val="28"/>
        </w:rPr>
        <w:t>una relazione</w:t>
      </w:r>
      <w:r w:rsidR="00BD5CC2" w:rsidRPr="00D42D2F">
        <w:rPr>
          <w:rFonts w:ascii="Garamond" w:hAnsi="Garamond"/>
          <w:sz w:val="28"/>
          <w:szCs w:val="28"/>
        </w:rPr>
        <w:t xml:space="preserve"> annuale</w:t>
      </w:r>
      <w:r w:rsidR="00D7334A" w:rsidRPr="00D42D2F">
        <w:rPr>
          <w:rFonts w:ascii="Garamond" w:hAnsi="Garamond"/>
          <w:sz w:val="28"/>
          <w:szCs w:val="28"/>
        </w:rPr>
        <w:t xml:space="preserve"> che costituisce un rendiconto sull’attuazione del </w:t>
      </w:r>
      <w:r w:rsidR="00803D18" w:rsidRPr="00D42D2F">
        <w:rPr>
          <w:rFonts w:ascii="Garamond" w:hAnsi="Garamond"/>
          <w:sz w:val="28"/>
          <w:szCs w:val="28"/>
        </w:rPr>
        <w:t>presente Piano</w:t>
      </w:r>
      <w:r w:rsidR="00D7334A" w:rsidRPr="00D42D2F">
        <w:rPr>
          <w:rFonts w:ascii="Garamond" w:hAnsi="Garamond"/>
          <w:sz w:val="28"/>
          <w:szCs w:val="28"/>
        </w:rPr>
        <w:t xml:space="preserve"> che dovrà essere resa nota al Consiglio di Amministrazione.</w:t>
      </w:r>
      <w:r w:rsidR="00D7334A" w:rsidRPr="00E02DAF">
        <w:rPr>
          <w:rFonts w:ascii="Garamond" w:hAnsi="Garamond"/>
          <w:sz w:val="28"/>
          <w:szCs w:val="28"/>
        </w:rPr>
        <w:t xml:space="preserve"> </w:t>
      </w:r>
    </w:p>
    <w:p w:rsidR="00876086" w:rsidRPr="00612AE8" w:rsidRDefault="00876086" w:rsidP="00612AE8">
      <w:pPr>
        <w:pStyle w:val="Titolo1"/>
        <w:numPr>
          <w:ilvl w:val="0"/>
          <w:numId w:val="28"/>
        </w:numPr>
        <w:rPr>
          <w:rFonts w:ascii="Garamond" w:hAnsi="Garamond"/>
          <w:b/>
          <w:sz w:val="28"/>
          <w:szCs w:val="28"/>
        </w:rPr>
      </w:pPr>
      <w:bookmarkStart w:id="8" w:name="_Toc43459026"/>
      <w:r w:rsidRPr="00612AE8">
        <w:rPr>
          <w:rFonts w:ascii="Garamond" w:hAnsi="Garamond"/>
          <w:b/>
          <w:sz w:val="28"/>
          <w:szCs w:val="28"/>
        </w:rPr>
        <w:t>Il concetto di trasparenza</w:t>
      </w:r>
      <w:bookmarkEnd w:id="8"/>
    </w:p>
    <w:p w:rsidR="00876086" w:rsidRPr="001214C3" w:rsidRDefault="00876086" w:rsidP="00D5342B">
      <w:pPr>
        <w:jc w:val="both"/>
        <w:rPr>
          <w:rFonts w:ascii="Garamond" w:hAnsi="Garamond" w:cs="Times New Roman"/>
          <w:sz w:val="28"/>
          <w:szCs w:val="28"/>
        </w:rPr>
      </w:pPr>
      <w:r w:rsidRPr="001214C3">
        <w:rPr>
          <w:rFonts w:ascii="Garamond" w:hAnsi="Garamond" w:cs="Times New Roman"/>
          <w:sz w:val="28"/>
          <w:szCs w:val="28"/>
        </w:rPr>
        <w:t>L’art. 1 del D. Lgs. n. 33/2013 afferma che “la trasparenza è intesa come accessibilità totale delle informazioni concernenti l’organizzazione e l’attività delle pubbliche amministrazioni, allo scopo di favorire forme diffuse di controllo sul perseguimento delle funzioni istituzionali e sull’utilizzo delle risorse pubbliche”; la norma precisa inoltre che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w:t>
      </w:r>
    </w:p>
    <w:p w:rsidR="002B291F" w:rsidRPr="001214C3" w:rsidRDefault="002B291F" w:rsidP="00D5342B">
      <w:pPr>
        <w:jc w:val="both"/>
        <w:rPr>
          <w:rFonts w:ascii="Garamond" w:hAnsi="Garamond"/>
          <w:sz w:val="28"/>
          <w:szCs w:val="28"/>
        </w:rPr>
      </w:pPr>
      <w:r w:rsidRPr="001214C3">
        <w:rPr>
          <w:rFonts w:ascii="Garamond" w:hAnsi="Garamond"/>
          <w:sz w:val="28"/>
          <w:szCs w:val="28"/>
        </w:rPr>
        <w:t xml:space="preserve">La trasparenza amministrativa è da intendersi come accessibilità totale delle informazioni concernenti l’organizzazione e l’attività delle pubbliche amministrazioni (nel nostro caso anche degli enti di diritto privato in controllo pubblico), finalizzata alla realizzazione di una amministrazione aperta e al servizio del cittadino. Lo scopo della norma è favorire forme diffuse di controllo sul perseguimento delle funzioni istituzionali e sull’utilizzo delle risorse pubbliche. </w:t>
      </w:r>
    </w:p>
    <w:p w:rsidR="002B291F" w:rsidRPr="001214C3" w:rsidRDefault="002B291F" w:rsidP="00D5342B">
      <w:pPr>
        <w:jc w:val="both"/>
        <w:rPr>
          <w:rFonts w:ascii="Garamond" w:hAnsi="Garamond"/>
          <w:sz w:val="28"/>
          <w:szCs w:val="28"/>
        </w:rPr>
      </w:pPr>
      <w:r w:rsidRPr="001214C3">
        <w:rPr>
          <w:rFonts w:ascii="Garamond" w:hAnsi="Garamond"/>
          <w:sz w:val="28"/>
          <w:szCs w:val="28"/>
        </w:rPr>
        <w:t>Fondazione, nell’ottica di favorire l’implementazione di un sistema di responsabilità nei confronti di tutti i portatori di interesse e di promuovere un miglioramento continuo dei servizi resi, già da tempo pubblica sul proprio sito informazioni che favoriscono la conoscenza della propria organizzazione (</w:t>
      </w:r>
      <w:hyperlink r:id="rId8" w:history="1">
        <w:r w:rsidR="001A6770" w:rsidRPr="00C5096C">
          <w:rPr>
            <w:rStyle w:val="Collegamentoipertestuale"/>
            <w:rFonts w:ascii="Garamond" w:hAnsi="Garamond"/>
            <w:sz w:val="28"/>
            <w:szCs w:val="28"/>
          </w:rPr>
          <w:t>https://www.fbov.org/</w:t>
        </w:r>
      </w:hyperlink>
      <w:r w:rsidRPr="001214C3">
        <w:rPr>
          <w:rFonts w:ascii="Garamond" w:hAnsi="Garamond"/>
          <w:sz w:val="28"/>
          <w:szCs w:val="28"/>
        </w:rPr>
        <w:t xml:space="preserve">). Sono pubblicati, infatti, oltre ai dati previsti dalla normativa vigente, anche </w:t>
      </w:r>
      <w:r w:rsidR="00351F32" w:rsidRPr="001214C3">
        <w:rPr>
          <w:rFonts w:ascii="Garamond" w:hAnsi="Garamond"/>
          <w:sz w:val="28"/>
          <w:szCs w:val="28"/>
        </w:rPr>
        <w:t>altre</w:t>
      </w:r>
      <w:r w:rsidRPr="001214C3">
        <w:rPr>
          <w:rFonts w:ascii="Garamond" w:hAnsi="Garamond"/>
          <w:sz w:val="28"/>
          <w:szCs w:val="28"/>
        </w:rPr>
        <w:t xml:space="preserve"> informazioni utili </w:t>
      </w:r>
      <w:r w:rsidR="005E17F8">
        <w:rPr>
          <w:rFonts w:ascii="Garamond" w:hAnsi="Garamond"/>
          <w:sz w:val="28"/>
          <w:szCs w:val="28"/>
        </w:rPr>
        <w:t>a</w:t>
      </w:r>
      <w:r w:rsidRPr="001214C3">
        <w:rPr>
          <w:rFonts w:ascii="Garamond" w:hAnsi="Garamond"/>
          <w:sz w:val="28"/>
          <w:szCs w:val="28"/>
        </w:rPr>
        <w:t xml:space="preserve"> favorire una corretta conoscenza e valutazione della propria attività da parte degli utenti.</w:t>
      </w:r>
    </w:p>
    <w:p w:rsidR="000C4678" w:rsidRPr="009E134D" w:rsidRDefault="000C4678" w:rsidP="00612AE8">
      <w:pPr>
        <w:pStyle w:val="Titolo1"/>
        <w:numPr>
          <w:ilvl w:val="0"/>
          <w:numId w:val="28"/>
        </w:numPr>
        <w:rPr>
          <w:rFonts w:ascii="Garamond" w:hAnsi="Garamond"/>
          <w:b/>
          <w:sz w:val="28"/>
          <w:szCs w:val="28"/>
        </w:rPr>
      </w:pPr>
      <w:bookmarkStart w:id="9" w:name="_Toc43459027"/>
      <w:r w:rsidRPr="009E134D">
        <w:rPr>
          <w:rFonts w:ascii="Garamond" w:hAnsi="Garamond"/>
          <w:b/>
          <w:sz w:val="28"/>
          <w:szCs w:val="28"/>
        </w:rPr>
        <w:t>Accesso documentale e accesso civico (l. 241/1990 e d.lgs. 33/2013).</w:t>
      </w:r>
      <w:bookmarkEnd w:id="9"/>
      <w:r w:rsidRPr="009E134D">
        <w:rPr>
          <w:rFonts w:ascii="Garamond" w:hAnsi="Garamond"/>
          <w:b/>
          <w:sz w:val="28"/>
          <w:szCs w:val="28"/>
        </w:rPr>
        <w:t xml:space="preserve"> </w:t>
      </w:r>
    </w:p>
    <w:p w:rsidR="000C4678" w:rsidRPr="001A6770" w:rsidRDefault="000C4678" w:rsidP="00D5342B">
      <w:pPr>
        <w:jc w:val="both"/>
        <w:rPr>
          <w:rFonts w:ascii="Garamond" w:hAnsi="Garamond" w:cs="Garamond"/>
          <w:i/>
          <w:color w:val="000000"/>
          <w:sz w:val="28"/>
          <w:szCs w:val="28"/>
        </w:rPr>
      </w:pPr>
      <w:r w:rsidRPr="001A6770">
        <w:rPr>
          <w:rFonts w:ascii="Garamond" w:hAnsi="Garamond" w:cs="Garamond"/>
          <w:i/>
          <w:color w:val="000000"/>
          <w:sz w:val="28"/>
          <w:szCs w:val="28"/>
        </w:rPr>
        <w:t>Accesso civico c.d. “semplice”</w:t>
      </w:r>
    </w:p>
    <w:p w:rsidR="001A6770" w:rsidRDefault="000C4678" w:rsidP="00D5342B">
      <w:pPr>
        <w:jc w:val="both"/>
        <w:rPr>
          <w:rFonts w:ascii="Garamond" w:hAnsi="Garamond" w:cs="Garamond"/>
          <w:color w:val="000000"/>
          <w:sz w:val="28"/>
          <w:szCs w:val="28"/>
        </w:rPr>
      </w:pPr>
      <w:r w:rsidRPr="001214C3">
        <w:rPr>
          <w:rFonts w:ascii="Garamond" w:hAnsi="Garamond" w:cs="Garamond"/>
          <w:color w:val="000000"/>
          <w:sz w:val="28"/>
          <w:szCs w:val="28"/>
        </w:rPr>
        <w:t>L’art. 5, comma 1, del d.lgs. 33/2013 introduce l’istituto dell’accesso civico, cioè il diritto di chiunque di prendere visione, attraverso l’accesso ai siti istituzionali degli Enti, di quei documenti, informazioni e dati di cui è prevista la pubblicazione sul web e di chiederne la pubblicazione senza limitazioni e senza necessità di motivazione, dei documenti di cui sia stata omessa la pubblicazione.</w:t>
      </w:r>
      <w:r w:rsidR="000D25E7">
        <w:rPr>
          <w:rFonts w:ascii="Garamond" w:hAnsi="Garamond" w:cs="Garamond"/>
          <w:color w:val="000000"/>
          <w:sz w:val="28"/>
          <w:szCs w:val="28"/>
        </w:rPr>
        <w:t xml:space="preserve"> </w:t>
      </w:r>
      <w:r w:rsidRPr="001214C3">
        <w:rPr>
          <w:rFonts w:ascii="Garamond" w:hAnsi="Garamond" w:cs="Garamond"/>
          <w:color w:val="000000"/>
          <w:sz w:val="28"/>
          <w:szCs w:val="28"/>
        </w:rPr>
        <w:t>Si riferisce pertanto alla pubblicazione obbligatoria di categorie di documenti specificamente individuati dalle disposizioni normative contenute nel decreto n. 33/2013.</w:t>
      </w:r>
    </w:p>
    <w:p w:rsidR="000C4678" w:rsidRPr="001214C3" w:rsidRDefault="000C4678" w:rsidP="00D5342B">
      <w:pPr>
        <w:jc w:val="both"/>
        <w:rPr>
          <w:rFonts w:ascii="Garamond" w:hAnsi="Garamond" w:cs="Garamond"/>
          <w:i/>
          <w:color w:val="000000"/>
          <w:sz w:val="28"/>
          <w:szCs w:val="28"/>
        </w:rPr>
      </w:pPr>
      <w:r w:rsidRPr="001214C3">
        <w:rPr>
          <w:rFonts w:ascii="Garamond" w:hAnsi="Garamond" w:cs="Garamond"/>
          <w:i/>
          <w:color w:val="000000"/>
          <w:sz w:val="28"/>
          <w:szCs w:val="28"/>
        </w:rPr>
        <w:t>Accesso civico c.d. “generalizzato”</w:t>
      </w:r>
    </w:p>
    <w:p w:rsidR="000C4678" w:rsidRPr="001214C3" w:rsidRDefault="000C4678" w:rsidP="00D5342B">
      <w:pPr>
        <w:jc w:val="both"/>
        <w:rPr>
          <w:rFonts w:ascii="Garamond" w:hAnsi="Garamond" w:cs="Garamond"/>
          <w:color w:val="000000"/>
          <w:sz w:val="28"/>
          <w:szCs w:val="28"/>
        </w:rPr>
      </w:pPr>
      <w:r w:rsidRPr="001214C3">
        <w:rPr>
          <w:rFonts w:ascii="Garamond" w:hAnsi="Garamond" w:cs="Garamond"/>
          <w:color w:val="000000"/>
          <w:sz w:val="28"/>
          <w:szCs w:val="28"/>
        </w:rPr>
        <w:t xml:space="preserve">Con il </w:t>
      </w:r>
      <w:proofErr w:type="spellStart"/>
      <w:r w:rsidRPr="001214C3">
        <w:rPr>
          <w:rFonts w:ascii="Garamond" w:hAnsi="Garamond" w:cs="Garamond"/>
          <w:color w:val="000000"/>
          <w:sz w:val="28"/>
          <w:szCs w:val="28"/>
        </w:rPr>
        <w:t>D.lgs</w:t>
      </w:r>
      <w:proofErr w:type="spellEnd"/>
      <w:r w:rsidRPr="001214C3">
        <w:rPr>
          <w:rFonts w:ascii="Garamond" w:hAnsi="Garamond" w:cs="Garamond"/>
          <w:color w:val="000000"/>
          <w:sz w:val="28"/>
          <w:szCs w:val="28"/>
        </w:rPr>
        <w:t xml:space="preserve"> n. 97/2016, il legislatore ha introdotto la figura dell’accesso civico ‘generalizzato’ (comma 2), che, prescindendo dagli obblighi di pubblicazione, si manifesta come</w:t>
      </w:r>
      <w:r w:rsidR="00D67611" w:rsidRPr="001214C3">
        <w:rPr>
          <w:rFonts w:ascii="Garamond" w:hAnsi="Garamond" w:cs="Garamond"/>
          <w:color w:val="000000"/>
          <w:sz w:val="28"/>
          <w:szCs w:val="28"/>
        </w:rPr>
        <w:t xml:space="preserve"> espressione della volontà del L</w:t>
      </w:r>
      <w:r w:rsidRPr="001214C3">
        <w:rPr>
          <w:rFonts w:ascii="Garamond" w:hAnsi="Garamond" w:cs="Garamond"/>
          <w:color w:val="000000"/>
          <w:sz w:val="28"/>
          <w:szCs w:val="28"/>
        </w:rPr>
        <w:t>egislatore di configurare uno strumento di tutela dei diritti dei cittadini (senza limiti, cioè, alla legittimazione soggettiva del richiedente che non necessità di alcuna motivazione) e di promozione della partecipazione degli interessati all’attività amministrativa.</w:t>
      </w:r>
    </w:p>
    <w:p w:rsidR="0078104A" w:rsidRPr="001214C3" w:rsidRDefault="0078104A" w:rsidP="00D5342B">
      <w:pPr>
        <w:jc w:val="both"/>
        <w:rPr>
          <w:rFonts w:ascii="Garamond" w:hAnsi="Garamond" w:cs="Garamond"/>
          <w:color w:val="000000"/>
          <w:sz w:val="28"/>
          <w:szCs w:val="28"/>
        </w:rPr>
      </w:pPr>
      <w:r w:rsidRPr="001214C3">
        <w:rPr>
          <w:rFonts w:ascii="Garamond" w:hAnsi="Garamond" w:cs="Garamond"/>
          <w:color w:val="000000"/>
          <w:sz w:val="28"/>
          <w:szCs w:val="28"/>
        </w:rPr>
        <w:t xml:space="preserve">Si tratta della possibilità di chiedere ulteriori </w:t>
      </w:r>
      <w:r w:rsidR="000C4678" w:rsidRPr="001214C3">
        <w:rPr>
          <w:rFonts w:ascii="Garamond" w:hAnsi="Garamond" w:cs="Garamond"/>
          <w:color w:val="000000"/>
          <w:sz w:val="28"/>
          <w:szCs w:val="28"/>
        </w:rPr>
        <w:t>dati ulteriori rispetto a quelli già obbligo di pubblicazione e al relativo diritto di conoscenza, ferma restando la tutela degli interessi pubblici e/o privati di cui all’art. 5-bis, commi 1 e 2 e le esclusioni dis</w:t>
      </w:r>
      <w:r w:rsidRPr="001214C3">
        <w:rPr>
          <w:rFonts w:ascii="Garamond" w:hAnsi="Garamond" w:cs="Garamond"/>
          <w:color w:val="000000"/>
          <w:sz w:val="28"/>
          <w:szCs w:val="28"/>
        </w:rPr>
        <w:t>poste dall’art. 5-bis, comma 3.</w:t>
      </w:r>
    </w:p>
    <w:p w:rsidR="00550FBB" w:rsidRPr="001214C3" w:rsidRDefault="00550FBB" w:rsidP="00D5342B">
      <w:pPr>
        <w:jc w:val="both"/>
        <w:rPr>
          <w:rFonts w:ascii="Garamond" w:hAnsi="Garamond"/>
          <w:sz w:val="28"/>
          <w:szCs w:val="28"/>
        </w:rPr>
      </w:pPr>
      <w:r w:rsidRPr="001214C3">
        <w:rPr>
          <w:rFonts w:ascii="Garamond" w:hAnsi="Garamond"/>
          <w:sz w:val="28"/>
          <w:szCs w:val="28"/>
        </w:rPr>
        <w:t>Fondazione mette a disposizione uno specifico account di posta elettronica indicato sul sito istituzionale (</w:t>
      </w:r>
      <w:hyperlink r:id="rId9" w:history="1">
        <w:r w:rsidRPr="001214C3">
          <w:rPr>
            <w:rStyle w:val="Collegamentoipertestuale"/>
            <w:rFonts w:ascii="Garamond" w:hAnsi="Garamond"/>
            <w:sz w:val="28"/>
            <w:szCs w:val="28"/>
          </w:rPr>
          <w:t>info@fbov.it</w:t>
        </w:r>
      </w:hyperlink>
      <w:r w:rsidRPr="001214C3">
        <w:rPr>
          <w:rFonts w:ascii="Garamond" w:hAnsi="Garamond"/>
          <w:sz w:val="28"/>
          <w:szCs w:val="28"/>
        </w:rPr>
        <w:t>) attraverso il quale possono essere richiesti documenti o informazioni.</w:t>
      </w:r>
      <w:r w:rsidR="00351F32" w:rsidRPr="001214C3">
        <w:rPr>
          <w:rFonts w:ascii="Garamond" w:hAnsi="Garamond"/>
          <w:sz w:val="28"/>
          <w:szCs w:val="28"/>
        </w:rPr>
        <w:t xml:space="preserve"> </w:t>
      </w:r>
      <w:r w:rsidRPr="001214C3">
        <w:rPr>
          <w:rFonts w:ascii="Garamond" w:hAnsi="Garamond"/>
          <w:sz w:val="28"/>
          <w:szCs w:val="28"/>
        </w:rPr>
        <w:t>La richiesta di accesso civico e generalizzato non è sottoposta a limitazioni, non deve essere motivata ed è gratuita. </w:t>
      </w:r>
    </w:p>
    <w:p w:rsidR="002B291F" w:rsidRPr="009E134D" w:rsidRDefault="0078104A" w:rsidP="00612AE8">
      <w:pPr>
        <w:pStyle w:val="Titolo1"/>
        <w:numPr>
          <w:ilvl w:val="0"/>
          <w:numId w:val="28"/>
        </w:numPr>
        <w:rPr>
          <w:rFonts w:ascii="Garamond" w:hAnsi="Garamond"/>
          <w:b/>
          <w:sz w:val="28"/>
          <w:szCs w:val="28"/>
        </w:rPr>
      </w:pPr>
      <w:bookmarkStart w:id="10" w:name="_Toc43459028"/>
      <w:r w:rsidRPr="009E134D">
        <w:rPr>
          <w:rFonts w:ascii="Garamond" w:hAnsi="Garamond"/>
          <w:b/>
          <w:sz w:val="28"/>
          <w:szCs w:val="28"/>
        </w:rPr>
        <w:t>Processo di elaborazione e attuazione del programma</w:t>
      </w:r>
      <w:bookmarkEnd w:id="10"/>
    </w:p>
    <w:p w:rsidR="00925045" w:rsidRPr="001214C3" w:rsidRDefault="00925045" w:rsidP="00D5342B">
      <w:pPr>
        <w:jc w:val="both"/>
        <w:rPr>
          <w:rFonts w:ascii="Garamond" w:hAnsi="Garamond"/>
          <w:sz w:val="28"/>
          <w:szCs w:val="28"/>
        </w:rPr>
      </w:pPr>
      <w:r w:rsidRPr="001214C3">
        <w:rPr>
          <w:rFonts w:ascii="Garamond" w:hAnsi="Garamond"/>
          <w:sz w:val="28"/>
          <w:szCs w:val="28"/>
        </w:rPr>
        <w:t xml:space="preserve">Il piano triennale è lo strumento con cui </w:t>
      </w:r>
      <w:r w:rsidR="00157DBE">
        <w:rPr>
          <w:rFonts w:ascii="Garamond" w:hAnsi="Garamond"/>
          <w:sz w:val="28"/>
          <w:szCs w:val="28"/>
        </w:rPr>
        <w:t>Fondazione</w:t>
      </w:r>
      <w:r w:rsidRPr="001214C3">
        <w:rPr>
          <w:rFonts w:ascii="Garamond" w:hAnsi="Garamond"/>
          <w:sz w:val="28"/>
          <w:szCs w:val="28"/>
        </w:rPr>
        <w:t xml:space="preserve"> declina gli obiettivi in ambito di trasparenza e la modalità per il loro raggiungimento. </w:t>
      </w:r>
    </w:p>
    <w:p w:rsidR="00925045" w:rsidRPr="001214C3" w:rsidRDefault="00612AE8" w:rsidP="00D5342B">
      <w:pPr>
        <w:pStyle w:val="Titolo3"/>
        <w:rPr>
          <w:rFonts w:ascii="Garamond" w:hAnsi="Garamond"/>
        </w:rPr>
      </w:pPr>
      <w:bookmarkStart w:id="11" w:name="_Toc43459029"/>
      <w:r>
        <w:rPr>
          <w:rFonts w:ascii="Garamond" w:hAnsi="Garamond"/>
        </w:rPr>
        <w:t>8</w:t>
      </w:r>
      <w:r w:rsidR="00F42308">
        <w:rPr>
          <w:rFonts w:ascii="Garamond" w:hAnsi="Garamond"/>
        </w:rPr>
        <w:t xml:space="preserve">.1 </w:t>
      </w:r>
      <w:r w:rsidR="00925045" w:rsidRPr="001214C3">
        <w:rPr>
          <w:rFonts w:ascii="Garamond" w:hAnsi="Garamond"/>
        </w:rPr>
        <w:t>Gli obiettivi strategici in materia di trasparenza</w:t>
      </w:r>
      <w:bookmarkEnd w:id="11"/>
    </w:p>
    <w:p w:rsidR="00925045" w:rsidRPr="001214C3" w:rsidRDefault="00925045" w:rsidP="00D5342B">
      <w:pPr>
        <w:jc w:val="both"/>
        <w:rPr>
          <w:rFonts w:ascii="Garamond" w:hAnsi="Garamond"/>
          <w:sz w:val="28"/>
          <w:szCs w:val="28"/>
        </w:rPr>
      </w:pPr>
      <w:r w:rsidRPr="001214C3">
        <w:rPr>
          <w:rFonts w:ascii="Garamond" w:hAnsi="Garamond"/>
          <w:sz w:val="28"/>
          <w:szCs w:val="28"/>
        </w:rPr>
        <w:t xml:space="preserve">Con il piano si vuole assicurare: </w:t>
      </w:r>
    </w:p>
    <w:p w:rsidR="00925045" w:rsidRPr="001214C3" w:rsidRDefault="00925045" w:rsidP="00D5342B">
      <w:pPr>
        <w:jc w:val="both"/>
        <w:rPr>
          <w:rFonts w:ascii="Garamond" w:hAnsi="Garamond"/>
          <w:sz w:val="28"/>
          <w:szCs w:val="28"/>
        </w:rPr>
      </w:pPr>
      <w:r w:rsidRPr="001214C3">
        <w:rPr>
          <w:rFonts w:ascii="Garamond" w:hAnsi="Garamond"/>
          <w:sz w:val="28"/>
          <w:szCs w:val="28"/>
        </w:rPr>
        <w:t xml:space="preserve">- La trasparenza e l’efficienza dei contenuti e delle informazioni previste dal D. Lgs. 33/2013 veicolate sul web per il tramite della sezione “Amministrazione Trasparente”; </w:t>
      </w:r>
    </w:p>
    <w:p w:rsidR="00925045" w:rsidRPr="001214C3" w:rsidRDefault="00925045" w:rsidP="00D5342B">
      <w:pPr>
        <w:jc w:val="both"/>
        <w:rPr>
          <w:rFonts w:ascii="Garamond" w:hAnsi="Garamond"/>
          <w:sz w:val="28"/>
          <w:szCs w:val="28"/>
        </w:rPr>
      </w:pPr>
      <w:r w:rsidRPr="001214C3">
        <w:rPr>
          <w:rFonts w:ascii="Garamond" w:hAnsi="Garamond"/>
          <w:sz w:val="28"/>
          <w:szCs w:val="28"/>
        </w:rPr>
        <w:t xml:space="preserve">-  La definizione </w:t>
      </w:r>
      <w:r w:rsidR="00256C11">
        <w:rPr>
          <w:rFonts w:ascii="Garamond" w:hAnsi="Garamond"/>
          <w:sz w:val="28"/>
          <w:szCs w:val="28"/>
        </w:rPr>
        <w:t>dei Responsabili</w:t>
      </w:r>
      <w:r w:rsidRPr="001214C3">
        <w:rPr>
          <w:rFonts w:ascii="Garamond" w:hAnsi="Garamond"/>
          <w:sz w:val="28"/>
          <w:szCs w:val="28"/>
        </w:rPr>
        <w:t xml:space="preserve"> coinvolti per il corretto assolvimento degli obblighi; </w:t>
      </w:r>
    </w:p>
    <w:p w:rsidR="001A6770" w:rsidRDefault="00925045" w:rsidP="00D5342B">
      <w:pPr>
        <w:jc w:val="both"/>
        <w:rPr>
          <w:rFonts w:ascii="Garamond" w:hAnsi="Garamond"/>
          <w:sz w:val="28"/>
          <w:szCs w:val="28"/>
        </w:rPr>
      </w:pPr>
      <w:r w:rsidRPr="001214C3">
        <w:rPr>
          <w:rFonts w:ascii="Garamond" w:hAnsi="Garamond"/>
          <w:sz w:val="28"/>
          <w:szCs w:val="28"/>
        </w:rPr>
        <w:t xml:space="preserve">- L’individuazione degli strumenti operativi a supporto degli uffici. </w:t>
      </w:r>
    </w:p>
    <w:p w:rsidR="00925045" w:rsidRPr="001214C3" w:rsidRDefault="00925045" w:rsidP="00D5342B">
      <w:pPr>
        <w:jc w:val="both"/>
        <w:rPr>
          <w:rFonts w:ascii="Garamond" w:hAnsi="Garamond"/>
          <w:sz w:val="28"/>
          <w:szCs w:val="28"/>
        </w:rPr>
      </w:pPr>
      <w:r w:rsidRPr="001214C3">
        <w:rPr>
          <w:rFonts w:ascii="Garamond" w:hAnsi="Garamond"/>
          <w:sz w:val="28"/>
          <w:szCs w:val="28"/>
        </w:rPr>
        <w:t>E’ indispensabile che le attività, per rispettare gli adempimenti in materia di trasparenza posti dalla legge, siano organizzate e svolte in modo efficiente, cioè, per quanto possibile, minimizzandone i costi diretti e indiretti.</w:t>
      </w:r>
    </w:p>
    <w:p w:rsidR="00A5592A" w:rsidRPr="001214C3" w:rsidRDefault="00612AE8" w:rsidP="00612AE8">
      <w:pPr>
        <w:pStyle w:val="Titolo3"/>
        <w:rPr>
          <w:rFonts w:ascii="Garamond" w:hAnsi="Garamond"/>
        </w:rPr>
      </w:pPr>
      <w:bookmarkStart w:id="12" w:name="_Toc43459030"/>
      <w:r>
        <w:rPr>
          <w:rFonts w:ascii="Garamond" w:hAnsi="Garamond"/>
        </w:rPr>
        <w:t>8.2</w:t>
      </w:r>
      <w:r w:rsidR="00425637">
        <w:rPr>
          <w:rFonts w:ascii="Garamond" w:hAnsi="Garamond"/>
        </w:rPr>
        <w:t xml:space="preserve"> </w:t>
      </w:r>
      <w:r w:rsidR="00A5592A" w:rsidRPr="001214C3">
        <w:rPr>
          <w:rFonts w:ascii="Garamond" w:hAnsi="Garamond"/>
        </w:rPr>
        <w:t>Individuazione dei responsabili della trasmissione, della pubblicazione e dell’aggiornamento dei dati</w:t>
      </w:r>
      <w:bookmarkEnd w:id="12"/>
    </w:p>
    <w:p w:rsidR="00A30204" w:rsidRPr="001214C3" w:rsidRDefault="00A30204" w:rsidP="00D5342B">
      <w:pPr>
        <w:jc w:val="both"/>
        <w:rPr>
          <w:rFonts w:ascii="Garamond" w:hAnsi="Garamond" w:cs="Garamond"/>
          <w:color w:val="000000"/>
          <w:sz w:val="28"/>
          <w:szCs w:val="28"/>
        </w:rPr>
      </w:pPr>
      <w:r w:rsidRPr="001214C3">
        <w:rPr>
          <w:rFonts w:ascii="Garamond" w:hAnsi="Garamond" w:cs="Garamond"/>
          <w:color w:val="000000"/>
          <w:sz w:val="28"/>
          <w:szCs w:val="28"/>
        </w:rPr>
        <w:t>Al fine di favo</w:t>
      </w:r>
      <w:r w:rsidR="00DA3A42" w:rsidRPr="001214C3">
        <w:rPr>
          <w:rFonts w:ascii="Garamond" w:hAnsi="Garamond" w:cs="Garamond"/>
          <w:color w:val="000000"/>
          <w:sz w:val="28"/>
          <w:szCs w:val="28"/>
        </w:rPr>
        <w:t xml:space="preserve">rire la </w:t>
      </w:r>
      <w:r w:rsidRPr="001214C3">
        <w:rPr>
          <w:rFonts w:ascii="Garamond" w:hAnsi="Garamond" w:cs="Garamond"/>
          <w:color w:val="000000"/>
          <w:sz w:val="28"/>
          <w:szCs w:val="28"/>
        </w:rPr>
        <w:t xml:space="preserve">trasparenza dell’azione amministrativa, Fondazione ha </w:t>
      </w:r>
      <w:r w:rsidR="00256C11">
        <w:rPr>
          <w:rFonts w:ascii="Garamond" w:hAnsi="Garamond" w:cs="Garamond"/>
          <w:color w:val="000000"/>
          <w:sz w:val="28"/>
          <w:szCs w:val="28"/>
        </w:rPr>
        <w:t>individuato</w:t>
      </w:r>
      <w:r w:rsidRPr="001214C3">
        <w:rPr>
          <w:rFonts w:ascii="Garamond" w:hAnsi="Garamond" w:cs="Garamond"/>
          <w:color w:val="000000"/>
          <w:sz w:val="28"/>
          <w:szCs w:val="28"/>
        </w:rPr>
        <w:t xml:space="preserve"> i soggetti deputati all’implementazione delle iniziative nel rispetto della disciplina di cui all’art. 43 D.Lgs. n. 33/2013. Essi sono:</w:t>
      </w:r>
    </w:p>
    <w:p w:rsidR="00A30204" w:rsidRPr="001214C3" w:rsidRDefault="00A30204" w:rsidP="00D5342B">
      <w:pPr>
        <w:jc w:val="both"/>
        <w:rPr>
          <w:rFonts w:ascii="Garamond" w:hAnsi="Garamond" w:cs="Garamond"/>
          <w:color w:val="000000"/>
          <w:sz w:val="28"/>
          <w:szCs w:val="28"/>
        </w:rPr>
      </w:pPr>
      <w:r w:rsidRPr="00D42D2F">
        <w:rPr>
          <w:rFonts w:ascii="Garamond" w:hAnsi="Garamond" w:cs="Garamond"/>
          <w:color w:val="000000"/>
          <w:sz w:val="28"/>
          <w:szCs w:val="28"/>
          <w:u w:val="single"/>
        </w:rPr>
        <w:t>Responsabile della trasparenza</w:t>
      </w:r>
      <w:r w:rsidR="00DA3A42" w:rsidRPr="00D42D2F">
        <w:rPr>
          <w:rFonts w:ascii="Garamond" w:hAnsi="Garamond" w:cs="Garamond"/>
          <w:color w:val="000000"/>
          <w:sz w:val="28"/>
          <w:szCs w:val="28"/>
        </w:rPr>
        <w:t xml:space="preserve"> </w:t>
      </w:r>
      <w:r w:rsidR="005223AE" w:rsidRPr="00D42D2F">
        <w:rPr>
          <w:rFonts w:ascii="Garamond" w:hAnsi="Garamond" w:cs="Garamond"/>
          <w:color w:val="000000"/>
          <w:sz w:val="28"/>
          <w:szCs w:val="28"/>
        </w:rPr>
        <w:t>che svolge stabilmente l’attività di controllo sull’adempimento deli obblighi di pubblicazione assicurandone la completezza, la chiarezza e l’aggiornamento attraverso il controllo dell’attualità delle informazioni pubblicate</w:t>
      </w:r>
      <w:r w:rsidR="00C24CE2" w:rsidRPr="00D42D2F">
        <w:rPr>
          <w:rFonts w:ascii="Garamond" w:hAnsi="Garamond" w:cs="Garamond"/>
          <w:color w:val="000000"/>
          <w:sz w:val="28"/>
          <w:szCs w:val="28"/>
        </w:rPr>
        <w:t>. Egli provvede, inoltre, all’aggiornamento del programma triennale per la Trasparenza</w:t>
      </w:r>
      <w:r w:rsidR="00256C11" w:rsidRPr="00D42D2F">
        <w:rPr>
          <w:rFonts w:ascii="Garamond" w:hAnsi="Garamond" w:cs="Garamond"/>
          <w:color w:val="000000"/>
          <w:sz w:val="28"/>
          <w:szCs w:val="28"/>
        </w:rPr>
        <w:t>.</w:t>
      </w:r>
    </w:p>
    <w:p w:rsidR="00A30204" w:rsidRPr="001214C3" w:rsidRDefault="00A30204" w:rsidP="00D5342B">
      <w:pPr>
        <w:jc w:val="both"/>
        <w:rPr>
          <w:rFonts w:ascii="Garamond" w:hAnsi="Garamond" w:cs="Garamond"/>
          <w:color w:val="000000"/>
          <w:sz w:val="28"/>
          <w:szCs w:val="28"/>
        </w:rPr>
      </w:pPr>
      <w:r w:rsidRPr="001214C3">
        <w:rPr>
          <w:rFonts w:ascii="Garamond" w:hAnsi="Garamond" w:cs="Garamond"/>
          <w:color w:val="000000"/>
          <w:sz w:val="28"/>
          <w:szCs w:val="28"/>
        </w:rPr>
        <w:t>I dirigenti responsabili dei servizi che hanno il compito di fornire i dati di loro competenza i quali possono individuare, all’interno delle risp</w:t>
      </w:r>
      <w:r w:rsidR="00C24CE2" w:rsidRPr="001214C3">
        <w:rPr>
          <w:rFonts w:ascii="Garamond" w:hAnsi="Garamond" w:cs="Garamond"/>
          <w:color w:val="000000"/>
          <w:sz w:val="28"/>
          <w:szCs w:val="28"/>
        </w:rPr>
        <w:t>ettive strutture, dei referenti. Nel dettaglio, essi sono:</w:t>
      </w:r>
    </w:p>
    <w:p w:rsidR="00C24CE2" w:rsidRPr="001214C3" w:rsidRDefault="00C24CE2" w:rsidP="00D5342B">
      <w:pPr>
        <w:jc w:val="both"/>
        <w:rPr>
          <w:rFonts w:ascii="Garamond" w:hAnsi="Garamond"/>
          <w:sz w:val="28"/>
          <w:szCs w:val="28"/>
        </w:rPr>
      </w:pPr>
      <w:r w:rsidRPr="001214C3">
        <w:rPr>
          <w:rFonts w:ascii="Garamond" w:hAnsi="Garamond"/>
          <w:sz w:val="28"/>
          <w:szCs w:val="28"/>
          <w:u w:val="single"/>
        </w:rPr>
        <w:t>Responsabile dell’Amministrazione</w:t>
      </w:r>
      <w:r w:rsidRPr="001214C3">
        <w:rPr>
          <w:rFonts w:ascii="Garamond" w:hAnsi="Garamond"/>
          <w:sz w:val="28"/>
          <w:szCs w:val="28"/>
        </w:rPr>
        <w:t xml:space="preserve"> assicura l’aggiornamento dei dati </w:t>
      </w:r>
      <w:r w:rsidR="00256C11">
        <w:rPr>
          <w:rFonts w:ascii="Garamond" w:hAnsi="Garamond"/>
          <w:sz w:val="28"/>
          <w:szCs w:val="28"/>
        </w:rPr>
        <w:t xml:space="preserve">di sua competenza </w:t>
      </w:r>
    </w:p>
    <w:p w:rsidR="00A30204" w:rsidRPr="001214C3" w:rsidRDefault="00C24CE2" w:rsidP="00D5342B">
      <w:pPr>
        <w:jc w:val="both"/>
        <w:rPr>
          <w:rFonts w:ascii="Garamond" w:hAnsi="Garamond" w:cs="Garamond"/>
          <w:color w:val="000000"/>
          <w:sz w:val="28"/>
          <w:szCs w:val="28"/>
        </w:rPr>
      </w:pPr>
      <w:r w:rsidRPr="001214C3">
        <w:rPr>
          <w:rFonts w:ascii="Garamond" w:hAnsi="Garamond"/>
          <w:sz w:val="28"/>
          <w:szCs w:val="28"/>
          <w:u w:val="single"/>
        </w:rPr>
        <w:t>Responsabile della Comunicazione e Relazioni Esterne</w:t>
      </w:r>
      <w:r w:rsidRPr="001214C3">
        <w:rPr>
          <w:rFonts w:ascii="Garamond" w:hAnsi="Garamond"/>
          <w:sz w:val="28"/>
          <w:szCs w:val="28"/>
        </w:rPr>
        <w:t xml:space="preserve"> assicura l’accessibilità al sito web, nello specifico della sezione “Amministrazione Trasparente”, garantendo inoltre la pubblicazione dei dati aggiornati</w:t>
      </w:r>
      <w:r w:rsidR="00D42D2F">
        <w:rPr>
          <w:rFonts w:ascii="Garamond" w:hAnsi="Garamond"/>
          <w:sz w:val="28"/>
          <w:szCs w:val="28"/>
        </w:rPr>
        <w:t xml:space="preserve">. </w:t>
      </w:r>
      <w:r w:rsidR="00A30204" w:rsidRPr="001214C3">
        <w:rPr>
          <w:rFonts w:ascii="Garamond" w:hAnsi="Garamond" w:cs="Garamond"/>
          <w:color w:val="000000"/>
          <w:sz w:val="28"/>
          <w:szCs w:val="28"/>
        </w:rPr>
        <w:t>La gestione degli obblighi di pubblicazione delle relative azioni viene effettuata con l’ausilio del supporto informatico dell’Ente (sito w</w:t>
      </w:r>
      <w:r w:rsidRPr="001214C3">
        <w:rPr>
          <w:rFonts w:ascii="Garamond" w:hAnsi="Garamond" w:cs="Garamond"/>
          <w:color w:val="000000"/>
          <w:sz w:val="28"/>
          <w:szCs w:val="28"/>
        </w:rPr>
        <w:t>eb).</w:t>
      </w:r>
    </w:p>
    <w:p w:rsidR="00C3610D" w:rsidRPr="00612AE8" w:rsidRDefault="00612AE8" w:rsidP="00612AE8">
      <w:pPr>
        <w:pStyle w:val="Titolo3"/>
        <w:rPr>
          <w:rFonts w:ascii="Garamond" w:hAnsi="Garamond"/>
        </w:rPr>
      </w:pPr>
      <w:bookmarkStart w:id="13" w:name="_Toc43459031"/>
      <w:r>
        <w:rPr>
          <w:rFonts w:ascii="Garamond" w:hAnsi="Garamond"/>
        </w:rPr>
        <w:t>8.3</w:t>
      </w:r>
      <w:r w:rsidR="00425637" w:rsidRPr="00612AE8">
        <w:rPr>
          <w:rFonts w:ascii="Garamond" w:hAnsi="Garamond"/>
        </w:rPr>
        <w:t xml:space="preserve"> </w:t>
      </w:r>
      <w:r w:rsidR="00C3610D" w:rsidRPr="00612AE8">
        <w:rPr>
          <w:rFonts w:ascii="Garamond" w:hAnsi="Garamond"/>
        </w:rPr>
        <w:t>Misure di monitoraggio e vigilanza sull’attuazione degli obblighi di trasparenza</w:t>
      </w:r>
      <w:bookmarkEnd w:id="13"/>
    </w:p>
    <w:p w:rsidR="00C3610D" w:rsidRPr="001214C3" w:rsidRDefault="00C3610D" w:rsidP="00D5342B">
      <w:pPr>
        <w:jc w:val="both"/>
        <w:rPr>
          <w:rFonts w:ascii="Garamond" w:hAnsi="Garamond" w:cs="Garamond"/>
          <w:color w:val="000000"/>
          <w:sz w:val="28"/>
          <w:szCs w:val="28"/>
        </w:rPr>
      </w:pPr>
      <w:r w:rsidRPr="001214C3">
        <w:rPr>
          <w:rFonts w:ascii="Garamond" w:hAnsi="Garamond" w:cs="Garamond"/>
          <w:color w:val="000000"/>
          <w:sz w:val="28"/>
          <w:szCs w:val="28"/>
        </w:rPr>
        <w:t>Il Direttore di Gestione monitorerà sulla corretta pubblicazione delle informazioni e dei dati di competenza previsti dal programma</w:t>
      </w:r>
      <w:r w:rsidR="00256C11">
        <w:rPr>
          <w:rFonts w:ascii="Garamond" w:hAnsi="Garamond" w:cs="Garamond"/>
          <w:color w:val="000000"/>
          <w:sz w:val="28"/>
          <w:szCs w:val="28"/>
        </w:rPr>
        <w:t xml:space="preserve">. </w:t>
      </w:r>
      <w:r w:rsidRPr="001214C3">
        <w:rPr>
          <w:rFonts w:ascii="Garamond" w:hAnsi="Garamond" w:cs="Garamond"/>
          <w:color w:val="000000"/>
          <w:sz w:val="28"/>
          <w:szCs w:val="28"/>
        </w:rPr>
        <w:t xml:space="preserve">Per quanto attiene la rilevazione dell'effettivo utilizzo dei dati da parte degli utenti della sezione “Amministrazione trasparente”, si attiveranno strumenti comunemente utilizzati per il monitoraggio del traffico sui siti web, che consentono di ottenere le statistiche analitiche degli accessi alle pagine del portale ai vari livelli, nonché degli scaricamenti dei file. </w:t>
      </w:r>
    </w:p>
    <w:p w:rsidR="00C3610D" w:rsidRPr="001214C3" w:rsidRDefault="00C3610D" w:rsidP="00D5342B">
      <w:pPr>
        <w:jc w:val="both"/>
        <w:rPr>
          <w:rFonts w:ascii="Garamond" w:hAnsi="Garamond" w:cs="Garamond"/>
          <w:color w:val="000000"/>
          <w:sz w:val="28"/>
          <w:szCs w:val="28"/>
        </w:rPr>
      </w:pPr>
      <w:r w:rsidRPr="001214C3">
        <w:rPr>
          <w:rFonts w:ascii="Garamond" w:hAnsi="Garamond" w:cs="Garamond"/>
          <w:color w:val="000000"/>
          <w:sz w:val="28"/>
          <w:szCs w:val="28"/>
        </w:rPr>
        <w:t xml:space="preserve">Per quanto attiene all'accesso civico, nella sotto-sezione 2 di “Amministrazione trasparente” riservata ad “Accesso civico”, sono pubblicate le modalità per l'esercizio dello stesso da parte del cittadino. </w:t>
      </w:r>
    </w:p>
    <w:p w:rsidR="009D7317" w:rsidRPr="007A5125" w:rsidRDefault="00C3610D" w:rsidP="00612AE8">
      <w:pPr>
        <w:pStyle w:val="Titolo1"/>
        <w:numPr>
          <w:ilvl w:val="0"/>
          <w:numId w:val="28"/>
        </w:numPr>
        <w:rPr>
          <w:rFonts w:ascii="Garamond" w:hAnsi="Garamond"/>
          <w:b/>
          <w:sz w:val="28"/>
          <w:szCs w:val="28"/>
        </w:rPr>
      </w:pPr>
      <w:bookmarkStart w:id="14" w:name="_Toc43459032"/>
      <w:r w:rsidRPr="007A5125">
        <w:rPr>
          <w:rFonts w:ascii="Garamond" w:hAnsi="Garamond"/>
          <w:b/>
          <w:sz w:val="28"/>
          <w:szCs w:val="28"/>
        </w:rPr>
        <w:t>Ulteriori iniziative finalizzate alla trasparenza</w:t>
      </w:r>
      <w:bookmarkEnd w:id="14"/>
      <w:r w:rsidRPr="007A5125">
        <w:rPr>
          <w:rFonts w:ascii="Garamond" w:hAnsi="Garamond"/>
          <w:b/>
          <w:sz w:val="28"/>
          <w:szCs w:val="28"/>
        </w:rPr>
        <w:t xml:space="preserve"> </w:t>
      </w:r>
    </w:p>
    <w:p w:rsidR="00A452ED" w:rsidRPr="001214C3" w:rsidRDefault="00A452ED" w:rsidP="00D5342B">
      <w:pPr>
        <w:jc w:val="both"/>
        <w:rPr>
          <w:rFonts w:ascii="Garamond" w:hAnsi="Garamond" w:cs="Times New Roman"/>
          <w:sz w:val="28"/>
          <w:szCs w:val="28"/>
        </w:rPr>
      </w:pPr>
      <w:r w:rsidRPr="001214C3">
        <w:rPr>
          <w:rFonts w:ascii="Garamond" w:hAnsi="Garamond" w:cs="Times New Roman"/>
          <w:sz w:val="28"/>
          <w:szCs w:val="28"/>
        </w:rPr>
        <w:t xml:space="preserve">Fondazione ha fatto da sempre il principio di trasparenza e di coinvolgimento </w:t>
      </w:r>
      <w:r w:rsidR="00351F32" w:rsidRPr="001214C3">
        <w:rPr>
          <w:rFonts w:ascii="Garamond" w:hAnsi="Garamond" w:cs="Times New Roman"/>
          <w:sz w:val="28"/>
          <w:szCs w:val="28"/>
        </w:rPr>
        <w:t>degli</w:t>
      </w:r>
      <w:r w:rsidRPr="001214C3">
        <w:rPr>
          <w:rFonts w:ascii="Garamond" w:hAnsi="Garamond" w:cs="Times New Roman"/>
          <w:sz w:val="28"/>
          <w:szCs w:val="28"/>
        </w:rPr>
        <w:t xml:space="preserve"> stakeholder nella sua attività, uno dei capisaldi della sua organizzazione</w:t>
      </w:r>
      <w:r w:rsidR="006448B0">
        <w:rPr>
          <w:rFonts w:ascii="Garamond" w:hAnsi="Garamond" w:cs="Times New Roman"/>
          <w:sz w:val="28"/>
          <w:szCs w:val="28"/>
        </w:rPr>
        <w:t xml:space="preserve">. </w:t>
      </w:r>
      <w:r w:rsidRPr="001214C3">
        <w:rPr>
          <w:rFonts w:ascii="Garamond" w:hAnsi="Garamond" w:cs="Times New Roman"/>
          <w:sz w:val="28"/>
          <w:szCs w:val="28"/>
        </w:rPr>
        <w:t>Le sue iniziative sono tese ad un coinvolgimento dei vari portatori di interesse e alla trasparenza dell’attività di Fondazione attraverso</w:t>
      </w:r>
      <w:r w:rsidR="00612AE8">
        <w:rPr>
          <w:rFonts w:ascii="Garamond" w:hAnsi="Garamond" w:cs="Times New Roman"/>
          <w:sz w:val="28"/>
          <w:szCs w:val="28"/>
        </w:rPr>
        <w:t xml:space="preserve">, anche attraverso canali differenti dal web, </w:t>
      </w:r>
      <w:r w:rsidR="0002305F">
        <w:rPr>
          <w:rFonts w:ascii="Garamond" w:hAnsi="Garamond" w:cs="Times New Roman"/>
          <w:sz w:val="28"/>
          <w:szCs w:val="28"/>
        </w:rPr>
        <w:t>quali, a titolo di esempio:</w:t>
      </w:r>
    </w:p>
    <w:p w:rsidR="00F34F37" w:rsidRPr="004A761A" w:rsidRDefault="00A452ED" w:rsidP="00612AE8">
      <w:pPr>
        <w:pStyle w:val="Paragrafoelenco"/>
        <w:numPr>
          <w:ilvl w:val="0"/>
          <w:numId w:val="29"/>
        </w:numPr>
        <w:ind w:left="567" w:hanging="567"/>
        <w:jc w:val="both"/>
        <w:rPr>
          <w:rFonts w:ascii="Garamond" w:hAnsi="Garamond" w:cs="Times New Roman"/>
          <w:sz w:val="28"/>
          <w:szCs w:val="28"/>
        </w:rPr>
      </w:pPr>
      <w:r w:rsidRPr="004A761A">
        <w:rPr>
          <w:rFonts w:ascii="Garamond" w:hAnsi="Garamond" w:cs="Times New Roman"/>
          <w:sz w:val="28"/>
          <w:szCs w:val="28"/>
        </w:rPr>
        <w:t>La pubblicazione semestrale della rivista “</w:t>
      </w:r>
      <w:r w:rsidR="00F34F37" w:rsidRPr="004A761A">
        <w:rPr>
          <w:rFonts w:ascii="Garamond" w:hAnsi="Garamond" w:cs="Times New Roman"/>
          <w:sz w:val="28"/>
          <w:szCs w:val="28"/>
        </w:rPr>
        <w:t>U</w:t>
      </w:r>
      <w:r w:rsidRPr="004A761A">
        <w:rPr>
          <w:rFonts w:ascii="Garamond" w:hAnsi="Garamond" w:cs="Times New Roman"/>
          <w:sz w:val="28"/>
          <w:szCs w:val="28"/>
        </w:rPr>
        <w:t>n certo sguardo”</w:t>
      </w:r>
      <w:r w:rsidR="00F34F37" w:rsidRPr="004A761A">
        <w:rPr>
          <w:rFonts w:ascii="Garamond" w:hAnsi="Garamond" w:cs="Times New Roman"/>
          <w:sz w:val="28"/>
          <w:szCs w:val="28"/>
        </w:rPr>
        <w:t xml:space="preserve"> che ha permesso di </w:t>
      </w:r>
      <w:r w:rsidRPr="004A761A">
        <w:rPr>
          <w:rFonts w:ascii="Garamond" w:hAnsi="Garamond" w:cs="Times New Roman"/>
          <w:sz w:val="28"/>
          <w:szCs w:val="28"/>
        </w:rPr>
        <w:t>instaurare un dialogo diretto con le famiglie dei donatori, i pazienti, i medici, i chirurghi, gli amici, i collaboratori e i sosteni</w:t>
      </w:r>
      <w:r w:rsidR="00F34F37" w:rsidRPr="004A761A">
        <w:rPr>
          <w:rFonts w:ascii="Garamond" w:hAnsi="Garamond" w:cs="Times New Roman"/>
          <w:sz w:val="28"/>
          <w:szCs w:val="28"/>
        </w:rPr>
        <w:t xml:space="preserve">tori. In essa vengono elencate le diverse iniziative che hanno avuto luogo nel periodo precedente e quelle che si svolgeranno nei mesi a venire. Si raccolgono esperienze e testimonianze di coloro che hanno ritrovato la vista grazie alle donazioni. La pubblicazione è in formato cartaceo, ma può essere scaricata in formato elettronico direttamente dal sito www.fbov.org così come i numeri arretrati. </w:t>
      </w:r>
    </w:p>
    <w:p w:rsidR="008A29B5" w:rsidRPr="00612AE8" w:rsidRDefault="00F34F37" w:rsidP="00612AE8">
      <w:pPr>
        <w:pStyle w:val="Paragrafoelenco"/>
        <w:keepNext/>
        <w:keepLines/>
        <w:numPr>
          <w:ilvl w:val="0"/>
          <w:numId w:val="29"/>
        </w:numPr>
        <w:spacing w:before="400" w:after="40" w:line="240" w:lineRule="auto"/>
        <w:ind w:left="567" w:hanging="567"/>
        <w:outlineLvl w:val="0"/>
        <w:rPr>
          <w:rFonts w:ascii="Garamond" w:hAnsi="Garamond"/>
          <w:sz w:val="28"/>
          <w:szCs w:val="28"/>
        </w:rPr>
      </w:pPr>
      <w:bookmarkStart w:id="15" w:name="_Toc43459033"/>
      <w:r w:rsidRPr="00612AE8">
        <w:rPr>
          <w:rFonts w:ascii="Garamond" w:hAnsi="Garamond" w:cs="Times New Roman"/>
          <w:color w:val="000000"/>
          <w:sz w:val="28"/>
          <w:szCs w:val="28"/>
        </w:rPr>
        <w:t xml:space="preserve">L’organizzazione di visite </w:t>
      </w:r>
      <w:r w:rsidR="00076F17" w:rsidRPr="00612AE8">
        <w:rPr>
          <w:rFonts w:ascii="Garamond" w:hAnsi="Garamond" w:cs="Times New Roman"/>
          <w:color w:val="000000"/>
          <w:sz w:val="28"/>
          <w:szCs w:val="28"/>
        </w:rPr>
        <w:t xml:space="preserve">in Fondazione </w:t>
      </w:r>
      <w:r w:rsidRPr="00612AE8">
        <w:rPr>
          <w:rFonts w:ascii="Garamond" w:hAnsi="Garamond" w:cs="Times New Roman"/>
          <w:color w:val="000000"/>
          <w:sz w:val="28"/>
          <w:szCs w:val="28"/>
        </w:rPr>
        <w:t xml:space="preserve">dei familiari dei donatori </w:t>
      </w:r>
      <w:r w:rsidR="00076F17" w:rsidRPr="00612AE8">
        <w:rPr>
          <w:rFonts w:ascii="Garamond" w:hAnsi="Garamond" w:cs="Times New Roman"/>
          <w:color w:val="000000"/>
          <w:sz w:val="28"/>
          <w:szCs w:val="28"/>
        </w:rPr>
        <w:t>volte a far</w:t>
      </w:r>
      <w:r w:rsidR="00BF401D" w:rsidRPr="00612AE8">
        <w:rPr>
          <w:rFonts w:ascii="Garamond" w:hAnsi="Garamond" w:cs="Times New Roman"/>
          <w:color w:val="000000"/>
          <w:sz w:val="28"/>
          <w:szCs w:val="28"/>
        </w:rPr>
        <w:t xml:space="preserve"> </w:t>
      </w:r>
      <w:r w:rsidR="00076F17" w:rsidRPr="00612AE8">
        <w:rPr>
          <w:rFonts w:ascii="Garamond" w:hAnsi="Garamond" w:cs="Times New Roman"/>
          <w:color w:val="000000"/>
          <w:sz w:val="28"/>
          <w:szCs w:val="28"/>
        </w:rPr>
        <w:t>conoscere la struttura e le persone che vi lavorano.</w:t>
      </w:r>
      <w:bookmarkEnd w:id="15"/>
    </w:p>
    <w:sectPr w:rsidR="008A29B5" w:rsidRPr="00612AE8" w:rsidSect="00347E30">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451" w:rsidRDefault="00335451" w:rsidP="00DB6A3E">
      <w:pPr>
        <w:spacing w:after="0" w:line="240" w:lineRule="auto"/>
      </w:pPr>
      <w:r>
        <w:separator/>
      </w:r>
    </w:p>
  </w:endnote>
  <w:endnote w:type="continuationSeparator" w:id="0">
    <w:p w:rsidR="00335451" w:rsidRDefault="00335451" w:rsidP="00DB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95192"/>
      <w:docPartObj>
        <w:docPartGallery w:val="Page Numbers (Bottom of Page)"/>
        <w:docPartUnique/>
      </w:docPartObj>
    </w:sdtPr>
    <w:sdtEndPr/>
    <w:sdtContent>
      <w:p w:rsidR="005B7B76" w:rsidRDefault="005B7B76">
        <w:pPr>
          <w:pStyle w:val="Pidipagina"/>
          <w:jc w:val="right"/>
        </w:pPr>
        <w:r>
          <w:fldChar w:fldCharType="begin"/>
        </w:r>
        <w:r>
          <w:instrText>PAGE   \* MERGEFORMAT</w:instrText>
        </w:r>
        <w:r>
          <w:fldChar w:fldCharType="separate"/>
        </w:r>
        <w:r w:rsidR="008815ED">
          <w:rPr>
            <w:noProof/>
          </w:rPr>
          <w:t>8</w:t>
        </w:r>
        <w:r>
          <w:fldChar w:fldCharType="end"/>
        </w:r>
      </w:p>
    </w:sdtContent>
  </w:sdt>
  <w:p w:rsidR="005B7B76" w:rsidRDefault="005B7B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451" w:rsidRDefault="00335451" w:rsidP="00DB6A3E">
      <w:pPr>
        <w:spacing w:after="0" w:line="240" w:lineRule="auto"/>
      </w:pPr>
      <w:r>
        <w:separator/>
      </w:r>
    </w:p>
  </w:footnote>
  <w:footnote w:type="continuationSeparator" w:id="0">
    <w:p w:rsidR="00335451" w:rsidRDefault="00335451" w:rsidP="00DB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B76" w:rsidRDefault="005B7B76">
    <w:pPr>
      <w:pStyle w:val="Intestazione"/>
    </w:pPr>
    <w:r>
      <w:rPr>
        <w:noProof/>
        <w:lang w:eastAsia="it-IT"/>
      </w:rPr>
      <w:drawing>
        <wp:anchor distT="0" distB="0" distL="114300" distR="114300" simplePos="0" relativeHeight="251658240" behindDoc="1" locked="0" layoutInCell="1" allowOverlap="1">
          <wp:simplePos x="0" y="0"/>
          <wp:positionH relativeFrom="margin">
            <wp:align>center</wp:align>
          </wp:positionH>
          <wp:positionV relativeFrom="paragraph">
            <wp:posOffset>-202565</wp:posOffset>
          </wp:positionV>
          <wp:extent cx="3352800" cy="981075"/>
          <wp:effectExtent l="0" t="0" r="0" b="9525"/>
          <wp:wrapNone/>
          <wp:docPr id="1" name="Immagine 1" descr="BANCA OCCHI CARTA INTESTATA so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A OCCHI CARTA INTESTATA sop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B76" w:rsidRDefault="005B7B76">
    <w:pPr>
      <w:pStyle w:val="Intestazione"/>
    </w:pPr>
  </w:p>
  <w:p w:rsidR="005B7B76" w:rsidRDefault="005B7B76">
    <w:pPr>
      <w:pStyle w:val="Intestazione"/>
    </w:pPr>
  </w:p>
  <w:p w:rsidR="005B7B76" w:rsidRDefault="005B7B76">
    <w:pPr>
      <w:pStyle w:val="Intestazione"/>
    </w:pPr>
  </w:p>
  <w:p w:rsidR="005B7B76" w:rsidRDefault="005B7B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5BD"/>
    <w:multiLevelType w:val="hybridMultilevel"/>
    <w:tmpl w:val="D6343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F17AE3"/>
    <w:multiLevelType w:val="hybridMultilevel"/>
    <w:tmpl w:val="FF502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D2396"/>
    <w:multiLevelType w:val="hybridMultilevel"/>
    <w:tmpl w:val="2AF432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A55FCC"/>
    <w:multiLevelType w:val="hybridMultilevel"/>
    <w:tmpl w:val="535EB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70E8B"/>
    <w:multiLevelType w:val="hybridMultilevel"/>
    <w:tmpl w:val="55AE7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DC4D05"/>
    <w:multiLevelType w:val="hybridMultilevel"/>
    <w:tmpl w:val="5ACA8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232F5"/>
    <w:multiLevelType w:val="hybridMultilevel"/>
    <w:tmpl w:val="60DE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401713"/>
    <w:multiLevelType w:val="hybridMultilevel"/>
    <w:tmpl w:val="DB0E5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CB6148"/>
    <w:multiLevelType w:val="hybridMultilevel"/>
    <w:tmpl w:val="83DE8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0A5289"/>
    <w:multiLevelType w:val="hybridMultilevel"/>
    <w:tmpl w:val="A1244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7750DE"/>
    <w:multiLevelType w:val="hybridMultilevel"/>
    <w:tmpl w:val="1754781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33380F"/>
    <w:multiLevelType w:val="hybridMultilevel"/>
    <w:tmpl w:val="A404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AF0DB0"/>
    <w:multiLevelType w:val="hybridMultilevel"/>
    <w:tmpl w:val="9426D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FB072B"/>
    <w:multiLevelType w:val="hybridMultilevel"/>
    <w:tmpl w:val="73085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E633DB"/>
    <w:multiLevelType w:val="hybridMultilevel"/>
    <w:tmpl w:val="B80C4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BB3E50"/>
    <w:multiLevelType w:val="hybridMultilevel"/>
    <w:tmpl w:val="12FEE68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FE7E94"/>
    <w:multiLevelType w:val="hybridMultilevel"/>
    <w:tmpl w:val="7B6A3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A22070"/>
    <w:multiLevelType w:val="hybridMultilevel"/>
    <w:tmpl w:val="8BA0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0D45AB"/>
    <w:multiLevelType w:val="hybridMultilevel"/>
    <w:tmpl w:val="9504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8D24F3"/>
    <w:multiLevelType w:val="hybridMultilevel"/>
    <w:tmpl w:val="6DB09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921A33"/>
    <w:multiLevelType w:val="hybridMultilevel"/>
    <w:tmpl w:val="B9E07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49088B"/>
    <w:multiLevelType w:val="hybridMultilevel"/>
    <w:tmpl w:val="CDA849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EF523A"/>
    <w:multiLevelType w:val="hybridMultilevel"/>
    <w:tmpl w:val="80F0F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731200"/>
    <w:multiLevelType w:val="hybridMultilevel"/>
    <w:tmpl w:val="270A2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F50B36"/>
    <w:multiLevelType w:val="hybridMultilevel"/>
    <w:tmpl w:val="AAA2A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014A76"/>
    <w:multiLevelType w:val="hybridMultilevel"/>
    <w:tmpl w:val="A240EE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B12F26"/>
    <w:multiLevelType w:val="hybridMultilevel"/>
    <w:tmpl w:val="F4C82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F27341"/>
    <w:multiLevelType w:val="hybridMultilevel"/>
    <w:tmpl w:val="87AA2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F096259"/>
    <w:multiLevelType w:val="hybridMultilevel"/>
    <w:tmpl w:val="51F2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19"/>
  </w:num>
  <w:num w:numId="5">
    <w:abstractNumId w:val="28"/>
  </w:num>
  <w:num w:numId="6">
    <w:abstractNumId w:val="17"/>
  </w:num>
  <w:num w:numId="7">
    <w:abstractNumId w:val="4"/>
  </w:num>
  <w:num w:numId="8">
    <w:abstractNumId w:val="6"/>
  </w:num>
  <w:num w:numId="9">
    <w:abstractNumId w:val="12"/>
  </w:num>
  <w:num w:numId="10">
    <w:abstractNumId w:val="26"/>
  </w:num>
  <w:num w:numId="11">
    <w:abstractNumId w:val="11"/>
  </w:num>
  <w:num w:numId="12">
    <w:abstractNumId w:val="24"/>
  </w:num>
  <w:num w:numId="13">
    <w:abstractNumId w:val="1"/>
  </w:num>
  <w:num w:numId="14">
    <w:abstractNumId w:val="7"/>
  </w:num>
  <w:num w:numId="15">
    <w:abstractNumId w:val="16"/>
  </w:num>
  <w:num w:numId="16">
    <w:abstractNumId w:val="0"/>
  </w:num>
  <w:num w:numId="17">
    <w:abstractNumId w:val="23"/>
  </w:num>
  <w:num w:numId="18">
    <w:abstractNumId w:val="14"/>
  </w:num>
  <w:num w:numId="19">
    <w:abstractNumId w:val="8"/>
  </w:num>
  <w:num w:numId="20">
    <w:abstractNumId w:val="9"/>
  </w:num>
  <w:num w:numId="21">
    <w:abstractNumId w:val="3"/>
  </w:num>
  <w:num w:numId="22">
    <w:abstractNumId w:val="18"/>
  </w:num>
  <w:num w:numId="23">
    <w:abstractNumId w:val="15"/>
  </w:num>
  <w:num w:numId="24">
    <w:abstractNumId w:val="10"/>
  </w:num>
  <w:num w:numId="25">
    <w:abstractNumId w:val="22"/>
  </w:num>
  <w:num w:numId="26">
    <w:abstractNumId w:val="27"/>
  </w:num>
  <w:num w:numId="27">
    <w:abstractNumId w:val="25"/>
  </w:num>
  <w:num w:numId="28">
    <w:abstractNumId w:val="21"/>
  </w:num>
  <w:num w:numId="2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4A"/>
    <w:rsid w:val="0002305F"/>
    <w:rsid w:val="0003412B"/>
    <w:rsid w:val="00037E0F"/>
    <w:rsid w:val="00055838"/>
    <w:rsid w:val="0005648B"/>
    <w:rsid w:val="00067CB1"/>
    <w:rsid w:val="00076F17"/>
    <w:rsid w:val="00092FA5"/>
    <w:rsid w:val="000A3442"/>
    <w:rsid w:val="000B43FF"/>
    <w:rsid w:val="000B61D8"/>
    <w:rsid w:val="000C2377"/>
    <w:rsid w:val="000C4678"/>
    <w:rsid w:val="000D25E7"/>
    <w:rsid w:val="000D289D"/>
    <w:rsid w:val="000D62E4"/>
    <w:rsid w:val="000E550C"/>
    <w:rsid w:val="000F760E"/>
    <w:rsid w:val="00104F6B"/>
    <w:rsid w:val="001214C3"/>
    <w:rsid w:val="00133B1D"/>
    <w:rsid w:val="00137379"/>
    <w:rsid w:val="00140202"/>
    <w:rsid w:val="001428F1"/>
    <w:rsid w:val="00145028"/>
    <w:rsid w:val="001459B1"/>
    <w:rsid w:val="00146AEE"/>
    <w:rsid w:val="00151EA7"/>
    <w:rsid w:val="00157DBE"/>
    <w:rsid w:val="00161944"/>
    <w:rsid w:val="0016582A"/>
    <w:rsid w:val="00167436"/>
    <w:rsid w:val="00195251"/>
    <w:rsid w:val="001A5609"/>
    <w:rsid w:val="001A6770"/>
    <w:rsid w:val="001C31C4"/>
    <w:rsid w:val="001C37CE"/>
    <w:rsid w:val="001C4497"/>
    <w:rsid w:val="001D1854"/>
    <w:rsid w:val="001D6484"/>
    <w:rsid w:val="001E2968"/>
    <w:rsid w:val="001E3E57"/>
    <w:rsid w:val="001F094E"/>
    <w:rsid w:val="00203B8F"/>
    <w:rsid w:val="002228CF"/>
    <w:rsid w:val="0023375B"/>
    <w:rsid w:val="00241FCE"/>
    <w:rsid w:val="002447F2"/>
    <w:rsid w:val="00251BEF"/>
    <w:rsid w:val="00256C11"/>
    <w:rsid w:val="0026082A"/>
    <w:rsid w:val="00263BCA"/>
    <w:rsid w:val="00284498"/>
    <w:rsid w:val="00291C83"/>
    <w:rsid w:val="002965E7"/>
    <w:rsid w:val="002B0D9B"/>
    <w:rsid w:val="002B291F"/>
    <w:rsid w:val="002B2C9B"/>
    <w:rsid w:val="002C1409"/>
    <w:rsid w:val="002D3236"/>
    <w:rsid w:val="002D442D"/>
    <w:rsid w:val="002E56D0"/>
    <w:rsid w:val="002F1DF7"/>
    <w:rsid w:val="002F31A6"/>
    <w:rsid w:val="00301506"/>
    <w:rsid w:val="00303007"/>
    <w:rsid w:val="003048C2"/>
    <w:rsid w:val="0031249A"/>
    <w:rsid w:val="00316E23"/>
    <w:rsid w:val="00321138"/>
    <w:rsid w:val="00326DB9"/>
    <w:rsid w:val="00335451"/>
    <w:rsid w:val="003403F2"/>
    <w:rsid w:val="00344BAC"/>
    <w:rsid w:val="00347E30"/>
    <w:rsid w:val="00351F32"/>
    <w:rsid w:val="0035705F"/>
    <w:rsid w:val="00357DA6"/>
    <w:rsid w:val="003859E8"/>
    <w:rsid w:val="00387601"/>
    <w:rsid w:val="003925BA"/>
    <w:rsid w:val="00393664"/>
    <w:rsid w:val="0039511C"/>
    <w:rsid w:val="003A718C"/>
    <w:rsid w:val="003B171E"/>
    <w:rsid w:val="003C68D2"/>
    <w:rsid w:val="003D1763"/>
    <w:rsid w:val="003E47E7"/>
    <w:rsid w:val="003E4E3B"/>
    <w:rsid w:val="003E6268"/>
    <w:rsid w:val="003E6283"/>
    <w:rsid w:val="003F11D0"/>
    <w:rsid w:val="004125ED"/>
    <w:rsid w:val="00422CE1"/>
    <w:rsid w:val="00425637"/>
    <w:rsid w:val="00450077"/>
    <w:rsid w:val="00480EA3"/>
    <w:rsid w:val="00486151"/>
    <w:rsid w:val="00486A1A"/>
    <w:rsid w:val="004A761A"/>
    <w:rsid w:val="004B45E1"/>
    <w:rsid w:val="004C3964"/>
    <w:rsid w:val="005011A9"/>
    <w:rsid w:val="00506612"/>
    <w:rsid w:val="00520712"/>
    <w:rsid w:val="00521500"/>
    <w:rsid w:val="005223AE"/>
    <w:rsid w:val="00542366"/>
    <w:rsid w:val="0055072E"/>
    <w:rsid w:val="00550FBB"/>
    <w:rsid w:val="00552D68"/>
    <w:rsid w:val="005545C8"/>
    <w:rsid w:val="00564DFD"/>
    <w:rsid w:val="0056672B"/>
    <w:rsid w:val="00567510"/>
    <w:rsid w:val="005963EB"/>
    <w:rsid w:val="005972B7"/>
    <w:rsid w:val="005A4931"/>
    <w:rsid w:val="005A5FEE"/>
    <w:rsid w:val="005B14EF"/>
    <w:rsid w:val="005B7B76"/>
    <w:rsid w:val="005C0879"/>
    <w:rsid w:val="005D1AB5"/>
    <w:rsid w:val="005E17F8"/>
    <w:rsid w:val="005F2B1D"/>
    <w:rsid w:val="0060384A"/>
    <w:rsid w:val="00610E20"/>
    <w:rsid w:val="00611991"/>
    <w:rsid w:val="00612AE8"/>
    <w:rsid w:val="00616FDA"/>
    <w:rsid w:val="0063601E"/>
    <w:rsid w:val="0063728E"/>
    <w:rsid w:val="006448B0"/>
    <w:rsid w:val="00654140"/>
    <w:rsid w:val="00663A41"/>
    <w:rsid w:val="006719EC"/>
    <w:rsid w:val="006A55DB"/>
    <w:rsid w:val="006B4BBA"/>
    <w:rsid w:val="006D2EC1"/>
    <w:rsid w:val="006D3E7D"/>
    <w:rsid w:val="006D641D"/>
    <w:rsid w:val="006E3F81"/>
    <w:rsid w:val="006E5225"/>
    <w:rsid w:val="006F5FAD"/>
    <w:rsid w:val="00705BB3"/>
    <w:rsid w:val="00716CF4"/>
    <w:rsid w:val="00723692"/>
    <w:rsid w:val="007270C4"/>
    <w:rsid w:val="00741D56"/>
    <w:rsid w:val="0074633C"/>
    <w:rsid w:val="00767A63"/>
    <w:rsid w:val="00775797"/>
    <w:rsid w:val="0078104A"/>
    <w:rsid w:val="007A5125"/>
    <w:rsid w:val="007C38B7"/>
    <w:rsid w:val="007C5EFB"/>
    <w:rsid w:val="007C6D55"/>
    <w:rsid w:val="00800002"/>
    <w:rsid w:val="00803D18"/>
    <w:rsid w:val="0080435A"/>
    <w:rsid w:val="00814174"/>
    <w:rsid w:val="00820159"/>
    <w:rsid w:val="00823D1A"/>
    <w:rsid w:val="0082511A"/>
    <w:rsid w:val="00827E43"/>
    <w:rsid w:val="00844BBA"/>
    <w:rsid w:val="00844DED"/>
    <w:rsid w:val="008561DA"/>
    <w:rsid w:val="00856523"/>
    <w:rsid w:val="00856C12"/>
    <w:rsid w:val="00871854"/>
    <w:rsid w:val="00871D57"/>
    <w:rsid w:val="008732A2"/>
    <w:rsid w:val="00876086"/>
    <w:rsid w:val="008812F9"/>
    <w:rsid w:val="008815ED"/>
    <w:rsid w:val="008949F7"/>
    <w:rsid w:val="008A29B5"/>
    <w:rsid w:val="008D6E41"/>
    <w:rsid w:val="008F4EA4"/>
    <w:rsid w:val="00900A70"/>
    <w:rsid w:val="009069C1"/>
    <w:rsid w:val="009076DD"/>
    <w:rsid w:val="009142CD"/>
    <w:rsid w:val="00925045"/>
    <w:rsid w:val="00937C47"/>
    <w:rsid w:val="0094262E"/>
    <w:rsid w:val="009459B8"/>
    <w:rsid w:val="009570E8"/>
    <w:rsid w:val="009716BB"/>
    <w:rsid w:val="009726A4"/>
    <w:rsid w:val="009779C4"/>
    <w:rsid w:val="009835F1"/>
    <w:rsid w:val="00986B28"/>
    <w:rsid w:val="009B12CE"/>
    <w:rsid w:val="009B1917"/>
    <w:rsid w:val="009D7317"/>
    <w:rsid w:val="009E134D"/>
    <w:rsid w:val="009E5084"/>
    <w:rsid w:val="00A11221"/>
    <w:rsid w:val="00A12D4D"/>
    <w:rsid w:val="00A13E2C"/>
    <w:rsid w:val="00A24281"/>
    <w:rsid w:val="00A2611D"/>
    <w:rsid w:val="00A30204"/>
    <w:rsid w:val="00A32660"/>
    <w:rsid w:val="00A40DC4"/>
    <w:rsid w:val="00A452ED"/>
    <w:rsid w:val="00A458F6"/>
    <w:rsid w:val="00A50E94"/>
    <w:rsid w:val="00A52536"/>
    <w:rsid w:val="00A550AD"/>
    <w:rsid w:val="00A5592A"/>
    <w:rsid w:val="00A67EDD"/>
    <w:rsid w:val="00A71225"/>
    <w:rsid w:val="00A81542"/>
    <w:rsid w:val="00A87CDA"/>
    <w:rsid w:val="00AA366D"/>
    <w:rsid w:val="00AB2890"/>
    <w:rsid w:val="00AC0768"/>
    <w:rsid w:val="00AD7CF1"/>
    <w:rsid w:val="00AF6535"/>
    <w:rsid w:val="00B05D36"/>
    <w:rsid w:val="00B133C5"/>
    <w:rsid w:val="00B21654"/>
    <w:rsid w:val="00B3170E"/>
    <w:rsid w:val="00B410B4"/>
    <w:rsid w:val="00B44FD6"/>
    <w:rsid w:val="00B46428"/>
    <w:rsid w:val="00B5458B"/>
    <w:rsid w:val="00B56803"/>
    <w:rsid w:val="00B62A4C"/>
    <w:rsid w:val="00B714A5"/>
    <w:rsid w:val="00B77C1B"/>
    <w:rsid w:val="00B81B06"/>
    <w:rsid w:val="00B824C3"/>
    <w:rsid w:val="00B84965"/>
    <w:rsid w:val="00B84F83"/>
    <w:rsid w:val="00B87488"/>
    <w:rsid w:val="00B9261D"/>
    <w:rsid w:val="00B92CA9"/>
    <w:rsid w:val="00B97723"/>
    <w:rsid w:val="00BA198C"/>
    <w:rsid w:val="00BA5BE6"/>
    <w:rsid w:val="00BB3A30"/>
    <w:rsid w:val="00BB3DF6"/>
    <w:rsid w:val="00BB41F4"/>
    <w:rsid w:val="00BD5CC2"/>
    <w:rsid w:val="00BE4DC0"/>
    <w:rsid w:val="00BE6FC5"/>
    <w:rsid w:val="00BF2E00"/>
    <w:rsid w:val="00BF401D"/>
    <w:rsid w:val="00BF4309"/>
    <w:rsid w:val="00BF5347"/>
    <w:rsid w:val="00C10829"/>
    <w:rsid w:val="00C14366"/>
    <w:rsid w:val="00C24CE2"/>
    <w:rsid w:val="00C35302"/>
    <w:rsid w:val="00C3610D"/>
    <w:rsid w:val="00C44CD7"/>
    <w:rsid w:val="00C47DE0"/>
    <w:rsid w:val="00C67F69"/>
    <w:rsid w:val="00C87884"/>
    <w:rsid w:val="00C94D3A"/>
    <w:rsid w:val="00CA7505"/>
    <w:rsid w:val="00CB447D"/>
    <w:rsid w:val="00CE0773"/>
    <w:rsid w:val="00CE2FF3"/>
    <w:rsid w:val="00D074B9"/>
    <w:rsid w:val="00D33391"/>
    <w:rsid w:val="00D40A20"/>
    <w:rsid w:val="00D42D2F"/>
    <w:rsid w:val="00D52189"/>
    <w:rsid w:val="00D5342B"/>
    <w:rsid w:val="00D67611"/>
    <w:rsid w:val="00D7334A"/>
    <w:rsid w:val="00D73D84"/>
    <w:rsid w:val="00D90FF3"/>
    <w:rsid w:val="00D9204C"/>
    <w:rsid w:val="00D93F4F"/>
    <w:rsid w:val="00D97D9B"/>
    <w:rsid w:val="00DA2753"/>
    <w:rsid w:val="00DA3A42"/>
    <w:rsid w:val="00DA456E"/>
    <w:rsid w:val="00DA4C8A"/>
    <w:rsid w:val="00DB6A3E"/>
    <w:rsid w:val="00DC14C2"/>
    <w:rsid w:val="00DE3CDE"/>
    <w:rsid w:val="00E02DAF"/>
    <w:rsid w:val="00E03AA8"/>
    <w:rsid w:val="00E142DE"/>
    <w:rsid w:val="00E159CC"/>
    <w:rsid w:val="00E16D6D"/>
    <w:rsid w:val="00E25346"/>
    <w:rsid w:val="00E25BDB"/>
    <w:rsid w:val="00E34C6F"/>
    <w:rsid w:val="00E437EB"/>
    <w:rsid w:val="00E469A4"/>
    <w:rsid w:val="00E55BB4"/>
    <w:rsid w:val="00E565C1"/>
    <w:rsid w:val="00E600E7"/>
    <w:rsid w:val="00E729B1"/>
    <w:rsid w:val="00E85E16"/>
    <w:rsid w:val="00E87DB0"/>
    <w:rsid w:val="00EC4C3D"/>
    <w:rsid w:val="00EC7217"/>
    <w:rsid w:val="00EF0C93"/>
    <w:rsid w:val="00EF279E"/>
    <w:rsid w:val="00EF71BE"/>
    <w:rsid w:val="00F07645"/>
    <w:rsid w:val="00F34F37"/>
    <w:rsid w:val="00F42308"/>
    <w:rsid w:val="00F7213E"/>
    <w:rsid w:val="00F75602"/>
    <w:rsid w:val="00F81DA1"/>
    <w:rsid w:val="00F83DD7"/>
    <w:rsid w:val="00F87F07"/>
    <w:rsid w:val="00F93030"/>
    <w:rsid w:val="00FB430C"/>
    <w:rsid w:val="00FC19ED"/>
    <w:rsid w:val="00FD0476"/>
    <w:rsid w:val="00FD7765"/>
    <w:rsid w:val="00FE3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479E3"/>
  <w15:chartTrackingRefBased/>
  <w15:docId w15:val="{23F55C97-C75B-409B-B71B-F64DB514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342B"/>
  </w:style>
  <w:style w:type="paragraph" w:styleId="Titolo1">
    <w:name w:val="heading 1"/>
    <w:basedOn w:val="Normale"/>
    <w:next w:val="Normale"/>
    <w:link w:val="Titolo1Carattere"/>
    <w:uiPriority w:val="9"/>
    <w:qFormat/>
    <w:rsid w:val="00D5342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iPriority w:val="9"/>
    <w:unhideWhenUsed/>
    <w:qFormat/>
    <w:rsid w:val="00D5342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D5342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5342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semiHidden/>
    <w:unhideWhenUsed/>
    <w:qFormat/>
    <w:rsid w:val="00D5342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semiHidden/>
    <w:unhideWhenUsed/>
    <w:qFormat/>
    <w:rsid w:val="00D5342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semiHidden/>
    <w:unhideWhenUsed/>
    <w:qFormat/>
    <w:rsid w:val="00D5342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semiHidden/>
    <w:unhideWhenUsed/>
    <w:qFormat/>
    <w:rsid w:val="00D5342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semiHidden/>
    <w:unhideWhenUsed/>
    <w:qFormat/>
    <w:rsid w:val="00D5342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334A"/>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81542"/>
    <w:pPr>
      <w:ind w:left="720"/>
      <w:contextualSpacing/>
    </w:pPr>
  </w:style>
  <w:style w:type="table" w:styleId="Grigliatabella">
    <w:name w:val="Table Grid"/>
    <w:basedOn w:val="Tabellanormale"/>
    <w:rsid w:val="00A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IRER"/>
    <w:basedOn w:val="Normale"/>
    <w:link w:val="CorpotestoCarattere"/>
    <w:rsid w:val="00A67EDD"/>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Corpo del testoIRER Carattere"/>
    <w:basedOn w:val="Carpredefinitoparagrafo"/>
    <w:link w:val="Corpotesto"/>
    <w:rsid w:val="00A67EDD"/>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D7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5342B"/>
    <w:rPr>
      <w:b/>
      <w:bCs/>
    </w:rPr>
  </w:style>
  <w:style w:type="character" w:styleId="Collegamentoipertestuale">
    <w:name w:val="Hyperlink"/>
    <w:basedOn w:val="Carpredefinitoparagrafo"/>
    <w:uiPriority w:val="99"/>
    <w:unhideWhenUsed/>
    <w:rsid w:val="001459B1"/>
    <w:rPr>
      <w:color w:val="0000FF"/>
      <w:u w:val="single"/>
    </w:rPr>
  </w:style>
  <w:style w:type="paragraph" w:styleId="PreformattatoHTML">
    <w:name w:val="HTML Preformatted"/>
    <w:basedOn w:val="Normale"/>
    <w:link w:val="PreformattatoHTMLCarattere"/>
    <w:uiPriority w:val="99"/>
    <w:semiHidden/>
    <w:unhideWhenUsed/>
    <w:rsid w:val="00E2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E25346"/>
    <w:rPr>
      <w:rFonts w:ascii="Courier New" w:eastAsia="Times New Roman" w:hAnsi="Courier New" w:cs="Courier New"/>
      <w:sz w:val="20"/>
      <w:szCs w:val="20"/>
      <w:lang w:eastAsia="it-IT"/>
    </w:rPr>
  </w:style>
  <w:style w:type="character" w:customStyle="1" w:styleId="Titolo3Carattere">
    <w:name w:val="Titolo 3 Carattere"/>
    <w:basedOn w:val="Carpredefinitoparagrafo"/>
    <w:link w:val="Titolo3"/>
    <w:uiPriority w:val="9"/>
    <w:rsid w:val="00D5342B"/>
    <w:rPr>
      <w:rFonts w:asciiTheme="majorHAnsi" w:eastAsiaTheme="majorEastAsia" w:hAnsiTheme="majorHAnsi" w:cstheme="majorBidi"/>
      <w:color w:val="365F91" w:themeColor="accent1" w:themeShade="BF"/>
      <w:sz w:val="28"/>
      <w:szCs w:val="28"/>
    </w:rPr>
  </w:style>
  <w:style w:type="paragraph" w:customStyle="1" w:styleId="Corpodeltesto21">
    <w:name w:val="Corpo del testo 21"/>
    <w:basedOn w:val="Normale"/>
    <w:rsid w:val="00195251"/>
    <w:pPr>
      <w:tabs>
        <w:tab w:val="left" w:pos="360"/>
      </w:tabs>
      <w:suppressAutoHyphens/>
      <w:spacing w:after="0" w:line="240" w:lineRule="auto"/>
      <w:jc w:val="both"/>
    </w:pPr>
    <w:rPr>
      <w:rFonts w:ascii="Arial" w:eastAsia="Times New Roman" w:hAnsi="Arial" w:cs="Times New Roman"/>
      <w:szCs w:val="24"/>
      <w:lang w:eastAsia="ar-SA"/>
    </w:rPr>
  </w:style>
  <w:style w:type="paragraph" w:styleId="Testofumetto">
    <w:name w:val="Balloon Text"/>
    <w:basedOn w:val="Normale"/>
    <w:link w:val="TestofumettoCarattere"/>
    <w:uiPriority w:val="99"/>
    <w:semiHidden/>
    <w:unhideWhenUsed/>
    <w:rsid w:val="00076F1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6F17"/>
    <w:rPr>
      <w:rFonts w:ascii="Segoe UI" w:hAnsi="Segoe UI" w:cs="Segoe UI"/>
      <w:sz w:val="18"/>
      <w:szCs w:val="18"/>
    </w:rPr>
  </w:style>
  <w:style w:type="paragraph" w:styleId="Intestazione">
    <w:name w:val="header"/>
    <w:basedOn w:val="Normale"/>
    <w:link w:val="IntestazioneCarattere"/>
    <w:uiPriority w:val="99"/>
    <w:unhideWhenUsed/>
    <w:rsid w:val="00DB6A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6A3E"/>
  </w:style>
  <w:style w:type="paragraph" w:styleId="Pidipagina">
    <w:name w:val="footer"/>
    <w:basedOn w:val="Normale"/>
    <w:link w:val="PidipaginaCarattere"/>
    <w:uiPriority w:val="99"/>
    <w:unhideWhenUsed/>
    <w:rsid w:val="00DB6A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6A3E"/>
  </w:style>
  <w:style w:type="character" w:customStyle="1" w:styleId="Titolo1Carattere">
    <w:name w:val="Titolo 1 Carattere"/>
    <w:basedOn w:val="Carpredefinitoparagrafo"/>
    <w:link w:val="Titolo1"/>
    <w:uiPriority w:val="9"/>
    <w:rsid w:val="00D5342B"/>
    <w:rPr>
      <w:rFonts w:asciiTheme="majorHAnsi" w:eastAsiaTheme="majorEastAsia" w:hAnsiTheme="majorHAnsi" w:cstheme="majorBidi"/>
      <w:color w:val="244061" w:themeColor="accent1" w:themeShade="80"/>
      <w:sz w:val="36"/>
      <w:szCs w:val="36"/>
    </w:rPr>
  </w:style>
  <w:style w:type="character" w:customStyle="1" w:styleId="Titolo2Carattere">
    <w:name w:val="Titolo 2 Carattere"/>
    <w:basedOn w:val="Carpredefinitoparagrafo"/>
    <w:link w:val="Titolo2"/>
    <w:uiPriority w:val="9"/>
    <w:rsid w:val="00D5342B"/>
    <w:rPr>
      <w:rFonts w:asciiTheme="majorHAnsi" w:eastAsiaTheme="majorEastAsia" w:hAnsiTheme="majorHAnsi" w:cstheme="majorBidi"/>
      <w:color w:val="365F91" w:themeColor="accent1" w:themeShade="BF"/>
      <w:sz w:val="32"/>
      <w:szCs w:val="32"/>
    </w:rPr>
  </w:style>
  <w:style w:type="character" w:customStyle="1" w:styleId="Titolo4Carattere">
    <w:name w:val="Titolo 4 Carattere"/>
    <w:basedOn w:val="Carpredefinitoparagrafo"/>
    <w:link w:val="Titolo4"/>
    <w:uiPriority w:val="9"/>
    <w:semiHidden/>
    <w:rsid w:val="00D5342B"/>
    <w:rPr>
      <w:rFonts w:asciiTheme="majorHAnsi" w:eastAsiaTheme="majorEastAsia" w:hAnsiTheme="majorHAnsi" w:cstheme="majorBidi"/>
      <w:color w:val="365F91" w:themeColor="accent1" w:themeShade="BF"/>
      <w:sz w:val="24"/>
      <w:szCs w:val="24"/>
    </w:rPr>
  </w:style>
  <w:style w:type="character" w:customStyle="1" w:styleId="Titolo5Carattere">
    <w:name w:val="Titolo 5 Carattere"/>
    <w:basedOn w:val="Carpredefinitoparagrafo"/>
    <w:link w:val="Titolo5"/>
    <w:uiPriority w:val="9"/>
    <w:semiHidden/>
    <w:rsid w:val="00D5342B"/>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semiHidden/>
    <w:rsid w:val="00D5342B"/>
    <w:rPr>
      <w:rFonts w:asciiTheme="majorHAnsi" w:eastAsiaTheme="majorEastAsia" w:hAnsiTheme="majorHAnsi" w:cstheme="majorBidi"/>
      <w:i/>
      <w:iCs/>
      <w:caps/>
      <w:color w:val="244061" w:themeColor="accent1" w:themeShade="80"/>
    </w:rPr>
  </w:style>
  <w:style w:type="character" w:customStyle="1" w:styleId="Titolo7Carattere">
    <w:name w:val="Titolo 7 Carattere"/>
    <w:basedOn w:val="Carpredefinitoparagrafo"/>
    <w:link w:val="Titolo7"/>
    <w:uiPriority w:val="9"/>
    <w:semiHidden/>
    <w:rsid w:val="00D5342B"/>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semiHidden/>
    <w:rsid w:val="00D5342B"/>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semiHidden/>
    <w:rsid w:val="00D5342B"/>
    <w:rPr>
      <w:rFonts w:asciiTheme="majorHAnsi" w:eastAsiaTheme="majorEastAsia" w:hAnsiTheme="majorHAnsi" w:cstheme="majorBidi"/>
      <w:i/>
      <w:iCs/>
      <w:color w:val="244061" w:themeColor="accent1" w:themeShade="80"/>
    </w:rPr>
  </w:style>
  <w:style w:type="paragraph" w:styleId="Didascalia">
    <w:name w:val="caption"/>
    <w:basedOn w:val="Normale"/>
    <w:next w:val="Normale"/>
    <w:uiPriority w:val="35"/>
    <w:semiHidden/>
    <w:unhideWhenUsed/>
    <w:qFormat/>
    <w:rsid w:val="00D5342B"/>
    <w:pPr>
      <w:spacing w:line="240" w:lineRule="auto"/>
    </w:pPr>
    <w:rPr>
      <w:b/>
      <w:bCs/>
      <w:smallCaps/>
      <w:color w:val="1F497D" w:themeColor="text2"/>
    </w:rPr>
  </w:style>
  <w:style w:type="paragraph" w:styleId="Titolo">
    <w:name w:val="Title"/>
    <w:basedOn w:val="Normale"/>
    <w:next w:val="Normale"/>
    <w:link w:val="TitoloCarattere"/>
    <w:uiPriority w:val="10"/>
    <w:qFormat/>
    <w:rsid w:val="00D5342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oloCarattere">
    <w:name w:val="Titolo Carattere"/>
    <w:basedOn w:val="Carpredefinitoparagrafo"/>
    <w:link w:val="Titolo"/>
    <w:uiPriority w:val="10"/>
    <w:rsid w:val="00D5342B"/>
    <w:rPr>
      <w:rFonts w:asciiTheme="majorHAnsi" w:eastAsiaTheme="majorEastAsia" w:hAnsiTheme="majorHAnsi" w:cstheme="majorBidi"/>
      <w:caps/>
      <w:color w:val="1F497D" w:themeColor="text2"/>
      <w:spacing w:val="-15"/>
      <w:sz w:val="72"/>
      <w:szCs w:val="72"/>
    </w:rPr>
  </w:style>
  <w:style w:type="paragraph" w:styleId="Sottotitolo">
    <w:name w:val="Subtitle"/>
    <w:basedOn w:val="Normale"/>
    <w:next w:val="Normale"/>
    <w:link w:val="SottotitoloCarattere"/>
    <w:uiPriority w:val="11"/>
    <w:qFormat/>
    <w:rsid w:val="00D5342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D5342B"/>
    <w:rPr>
      <w:rFonts w:asciiTheme="majorHAnsi" w:eastAsiaTheme="majorEastAsia" w:hAnsiTheme="majorHAnsi" w:cstheme="majorBidi"/>
      <w:color w:val="4F81BD" w:themeColor="accent1"/>
      <w:sz w:val="28"/>
      <w:szCs w:val="28"/>
    </w:rPr>
  </w:style>
  <w:style w:type="character" w:styleId="Enfasicorsivo">
    <w:name w:val="Emphasis"/>
    <w:basedOn w:val="Carpredefinitoparagrafo"/>
    <w:uiPriority w:val="20"/>
    <w:qFormat/>
    <w:rsid w:val="00D5342B"/>
    <w:rPr>
      <w:i/>
      <w:iCs/>
    </w:rPr>
  </w:style>
  <w:style w:type="paragraph" w:styleId="Nessunaspaziatura">
    <w:name w:val="No Spacing"/>
    <w:uiPriority w:val="1"/>
    <w:qFormat/>
    <w:rsid w:val="00D5342B"/>
    <w:pPr>
      <w:spacing w:after="0" w:line="240" w:lineRule="auto"/>
    </w:pPr>
  </w:style>
  <w:style w:type="paragraph" w:styleId="Citazione">
    <w:name w:val="Quote"/>
    <w:basedOn w:val="Normale"/>
    <w:next w:val="Normale"/>
    <w:link w:val="CitazioneCarattere"/>
    <w:uiPriority w:val="29"/>
    <w:qFormat/>
    <w:rsid w:val="00D5342B"/>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D5342B"/>
    <w:rPr>
      <w:color w:val="1F497D" w:themeColor="text2"/>
      <w:sz w:val="24"/>
      <w:szCs w:val="24"/>
    </w:rPr>
  </w:style>
  <w:style w:type="paragraph" w:styleId="Citazioneintensa">
    <w:name w:val="Intense Quote"/>
    <w:basedOn w:val="Normale"/>
    <w:next w:val="Normale"/>
    <w:link w:val="CitazioneintensaCarattere"/>
    <w:uiPriority w:val="30"/>
    <w:qFormat/>
    <w:rsid w:val="00D5342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D5342B"/>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D5342B"/>
    <w:rPr>
      <w:i/>
      <w:iCs/>
      <w:color w:val="595959" w:themeColor="text1" w:themeTint="A6"/>
    </w:rPr>
  </w:style>
  <w:style w:type="character" w:styleId="Enfasiintensa">
    <w:name w:val="Intense Emphasis"/>
    <w:basedOn w:val="Carpredefinitoparagrafo"/>
    <w:uiPriority w:val="21"/>
    <w:qFormat/>
    <w:rsid w:val="00D5342B"/>
    <w:rPr>
      <w:b/>
      <w:bCs/>
      <w:i/>
      <w:iCs/>
    </w:rPr>
  </w:style>
  <w:style w:type="character" w:styleId="Riferimentodelicato">
    <w:name w:val="Subtle Reference"/>
    <w:basedOn w:val="Carpredefinitoparagrafo"/>
    <w:uiPriority w:val="31"/>
    <w:qFormat/>
    <w:rsid w:val="00D5342B"/>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D5342B"/>
    <w:rPr>
      <w:b/>
      <w:bCs/>
      <w:smallCaps/>
      <w:color w:val="1F497D" w:themeColor="text2"/>
      <w:u w:val="single"/>
    </w:rPr>
  </w:style>
  <w:style w:type="character" w:styleId="Titolodellibro">
    <w:name w:val="Book Title"/>
    <w:basedOn w:val="Carpredefinitoparagrafo"/>
    <w:uiPriority w:val="33"/>
    <w:qFormat/>
    <w:rsid w:val="00D5342B"/>
    <w:rPr>
      <w:b/>
      <w:bCs/>
      <w:smallCaps/>
      <w:spacing w:val="10"/>
    </w:rPr>
  </w:style>
  <w:style w:type="paragraph" w:styleId="Titolosommario">
    <w:name w:val="TOC Heading"/>
    <w:basedOn w:val="Titolo1"/>
    <w:next w:val="Normale"/>
    <w:uiPriority w:val="39"/>
    <w:unhideWhenUsed/>
    <w:qFormat/>
    <w:rsid w:val="00D5342B"/>
    <w:pPr>
      <w:outlineLvl w:val="9"/>
    </w:pPr>
  </w:style>
  <w:style w:type="paragraph" w:styleId="Sommario3">
    <w:name w:val="toc 3"/>
    <w:basedOn w:val="Normale"/>
    <w:next w:val="Normale"/>
    <w:autoRedefine/>
    <w:uiPriority w:val="39"/>
    <w:unhideWhenUsed/>
    <w:rsid w:val="00D5342B"/>
    <w:pPr>
      <w:spacing w:after="100"/>
      <w:ind w:left="440"/>
    </w:pPr>
  </w:style>
  <w:style w:type="paragraph" w:styleId="Sommario1">
    <w:name w:val="toc 1"/>
    <w:basedOn w:val="Normale"/>
    <w:next w:val="Normale"/>
    <w:autoRedefine/>
    <w:uiPriority w:val="39"/>
    <w:unhideWhenUsed/>
    <w:rsid w:val="00D5342B"/>
    <w:pPr>
      <w:spacing w:after="100"/>
    </w:pPr>
  </w:style>
  <w:style w:type="paragraph" w:styleId="Sommario2">
    <w:name w:val="toc 2"/>
    <w:basedOn w:val="Normale"/>
    <w:next w:val="Normale"/>
    <w:autoRedefine/>
    <w:uiPriority w:val="39"/>
    <w:unhideWhenUsed/>
    <w:rsid w:val="00D534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6910">
      <w:bodyDiv w:val="1"/>
      <w:marLeft w:val="0"/>
      <w:marRight w:val="0"/>
      <w:marTop w:val="0"/>
      <w:marBottom w:val="0"/>
      <w:divBdr>
        <w:top w:val="none" w:sz="0" w:space="0" w:color="auto"/>
        <w:left w:val="none" w:sz="0" w:space="0" w:color="auto"/>
        <w:bottom w:val="none" w:sz="0" w:space="0" w:color="auto"/>
        <w:right w:val="none" w:sz="0" w:space="0" w:color="auto"/>
      </w:divBdr>
    </w:div>
    <w:div w:id="268591119">
      <w:bodyDiv w:val="1"/>
      <w:marLeft w:val="0"/>
      <w:marRight w:val="0"/>
      <w:marTop w:val="0"/>
      <w:marBottom w:val="0"/>
      <w:divBdr>
        <w:top w:val="none" w:sz="0" w:space="0" w:color="auto"/>
        <w:left w:val="none" w:sz="0" w:space="0" w:color="auto"/>
        <w:bottom w:val="none" w:sz="0" w:space="0" w:color="auto"/>
        <w:right w:val="none" w:sz="0" w:space="0" w:color="auto"/>
      </w:divBdr>
    </w:div>
    <w:div w:id="473983988">
      <w:bodyDiv w:val="1"/>
      <w:marLeft w:val="0"/>
      <w:marRight w:val="0"/>
      <w:marTop w:val="0"/>
      <w:marBottom w:val="0"/>
      <w:divBdr>
        <w:top w:val="none" w:sz="0" w:space="0" w:color="auto"/>
        <w:left w:val="none" w:sz="0" w:space="0" w:color="auto"/>
        <w:bottom w:val="none" w:sz="0" w:space="0" w:color="auto"/>
        <w:right w:val="none" w:sz="0" w:space="0" w:color="auto"/>
      </w:divBdr>
    </w:div>
    <w:div w:id="772165449">
      <w:bodyDiv w:val="1"/>
      <w:marLeft w:val="0"/>
      <w:marRight w:val="0"/>
      <w:marTop w:val="0"/>
      <w:marBottom w:val="0"/>
      <w:divBdr>
        <w:top w:val="none" w:sz="0" w:space="0" w:color="auto"/>
        <w:left w:val="none" w:sz="0" w:space="0" w:color="auto"/>
        <w:bottom w:val="none" w:sz="0" w:space="0" w:color="auto"/>
        <w:right w:val="none" w:sz="0" w:space="0" w:color="auto"/>
      </w:divBdr>
    </w:div>
    <w:div w:id="820386306">
      <w:bodyDiv w:val="1"/>
      <w:marLeft w:val="0"/>
      <w:marRight w:val="0"/>
      <w:marTop w:val="0"/>
      <w:marBottom w:val="0"/>
      <w:divBdr>
        <w:top w:val="none" w:sz="0" w:space="0" w:color="auto"/>
        <w:left w:val="none" w:sz="0" w:space="0" w:color="auto"/>
        <w:bottom w:val="none" w:sz="0" w:space="0" w:color="auto"/>
        <w:right w:val="none" w:sz="0" w:space="0" w:color="auto"/>
      </w:divBdr>
    </w:div>
    <w:div w:id="1248340711">
      <w:bodyDiv w:val="1"/>
      <w:marLeft w:val="0"/>
      <w:marRight w:val="0"/>
      <w:marTop w:val="0"/>
      <w:marBottom w:val="0"/>
      <w:divBdr>
        <w:top w:val="none" w:sz="0" w:space="0" w:color="auto"/>
        <w:left w:val="none" w:sz="0" w:space="0" w:color="auto"/>
        <w:bottom w:val="none" w:sz="0" w:space="0" w:color="auto"/>
        <w:right w:val="none" w:sz="0" w:space="0" w:color="auto"/>
      </w:divBdr>
    </w:div>
    <w:div w:id="1259945846">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546064501">
      <w:bodyDiv w:val="1"/>
      <w:marLeft w:val="0"/>
      <w:marRight w:val="0"/>
      <w:marTop w:val="0"/>
      <w:marBottom w:val="0"/>
      <w:divBdr>
        <w:top w:val="none" w:sz="0" w:space="0" w:color="auto"/>
        <w:left w:val="none" w:sz="0" w:space="0" w:color="auto"/>
        <w:bottom w:val="none" w:sz="0" w:space="0" w:color="auto"/>
        <w:right w:val="none" w:sz="0" w:space="0" w:color="auto"/>
      </w:divBdr>
    </w:div>
    <w:div w:id="1787579149">
      <w:bodyDiv w:val="1"/>
      <w:marLeft w:val="0"/>
      <w:marRight w:val="0"/>
      <w:marTop w:val="0"/>
      <w:marBottom w:val="0"/>
      <w:divBdr>
        <w:top w:val="none" w:sz="0" w:space="0" w:color="auto"/>
        <w:left w:val="none" w:sz="0" w:space="0" w:color="auto"/>
        <w:bottom w:val="none" w:sz="0" w:space="0" w:color="auto"/>
        <w:right w:val="none" w:sz="0" w:space="0" w:color="auto"/>
      </w:divBdr>
    </w:div>
    <w:div w:id="21094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o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b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FDD6-AEBE-48B2-A365-159F3306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2817</Words>
  <Characters>16060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Fracasso</dc:creator>
  <cp:keywords/>
  <dc:description/>
  <cp:lastModifiedBy>Linda Fracasso</cp:lastModifiedBy>
  <cp:revision>4</cp:revision>
  <cp:lastPrinted>2020-06-24T08:50:00Z</cp:lastPrinted>
  <dcterms:created xsi:type="dcterms:W3CDTF">2020-06-24T08:40:00Z</dcterms:created>
  <dcterms:modified xsi:type="dcterms:W3CDTF">2020-06-24T13:59:00Z</dcterms:modified>
</cp:coreProperties>
</file>